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2E" w:rsidRDefault="00A0622E" w:rsidP="00A06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A0622E" w:rsidRDefault="00A0622E" w:rsidP="00A06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«ПРОФИЛАКТИКА ПРАВОНАРУШЕНИЙ И ПРОТИВОДЕЙСТВИЕ ПРЕСТУПНОСТИ НА ТЕРРИТОРИИ НЯНДОМСКОГО РАЙОНА»</w:t>
      </w:r>
    </w:p>
    <w:p w:rsidR="00A0622E" w:rsidRDefault="00A0622E" w:rsidP="00A06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утв. постановлением от 10.11.2020г. №441-па, с изменениями от 10.11.2021г. №274-па)</w:t>
      </w:r>
    </w:p>
    <w:p w:rsidR="00A0622E" w:rsidRDefault="00A0622E" w:rsidP="00A06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0622E" w:rsidRDefault="00A0622E" w:rsidP="00A0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0622E" w:rsidRDefault="00A0622E" w:rsidP="00A0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«Профилактика правонарушений и противодействие преступности на территории Няндомского района»</w:t>
      </w:r>
    </w:p>
    <w:p w:rsidR="00A0622E" w:rsidRDefault="00A0622E" w:rsidP="00A06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7776"/>
      </w:tblGrid>
      <w:tr w:rsidR="00A0622E" w:rsidTr="00A0622E">
        <w:trPr>
          <w:trHeight w:val="14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противодействие преступности на территории Няндомского района</w:t>
            </w:r>
          </w:p>
        </w:tc>
      </w:tr>
      <w:tr w:rsidR="00A0622E" w:rsidTr="00A0622E">
        <w:trPr>
          <w:trHeight w:val="14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молодежной политике и социальным вопросам Управления социальной политики администрации Няндомского муниципального района Архангельской области (далее – отдел по молодежной политике и социальным вопросам УСП)</w:t>
            </w:r>
          </w:p>
        </w:tc>
      </w:tr>
      <w:tr w:rsidR="00A0622E" w:rsidTr="00A0622E">
        <w:trPr>
          <w:trHeight w:val="14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МБУК «Няндомская центральная районная библиотека»;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МБУК «Няндомский районный центр культуры и спорта» </w:t>
            </w:r>
          </w:p>
        </w:tc>
      </w:tr>
      <w:tr w:rsidR="00A0622E" w:rsidTr="00A0622E">
        <w:trPr>
          <w:trHeight w:val="14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 администрации Няндомского района;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опеки и попечительства администрации Няндомского района;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Няндомский территориальный 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агентства записи актов гражданского состояния Архангельской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муниципальная комиссия по делам несовершеннолетних и защите их прав администрации Няндомского муниципального района Архангельской области;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ОМВД России «Няндомский»;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дополнительного образования детей»;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ГБУЗ АО «Няндомская центральная районная больница»;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ГКУ АО «Архангельский областной центр занятости населения» отделение занятости населения по Няндомскому району;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ГКУ АО «Архангельский областной центр социальной защиты населения» ОП «ОСЗН по Няндомскому району»;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ГБУ  СОН «Няндомский КЦСО»;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ГБОУ АО «Няндомское специальное учебно-воспитательное учреждение»;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ГАОУ СПО АО «Няндомский железнодорожный техникум»;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общественные организации и объединения Няндомского района</w:t>
            </w:r>
          </w:p>
        </w:tc>
      </w:tr>
      <w:tr w:rsidR="00A0622E" w:rsidTr="00A0622E">
        <w:trPr>
          <w:trHeight w:val="14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22E" w:rsidRDefault="00A06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жизнедеятельности граждан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A0622E" w:rsidRDefault="00A06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профилактики преступлений и правонарушений на территории Няндомского района;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общественного мнения о работе правоохранительных органов;</w:t>
            </w:r>
          </w:p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комплексных  мероприятий, направленных на формирование в обществе негативного отношения   к   наркомании  и токсикомании</w:t>
            </w:r>
          </w:p>
        </w:tc>
      </w:tr>
      <w:tr w:rsidR="00A0622E" w:rsidTr="00A0622E">
        <w:trPr>
          <w:trHeight w:val="5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2021 года по 2024 год в один этап  </w:t>
            </w:r>
          </w:p>
        </w:tc>
      </w:tr>
      <w:tr w:rsidR="00A0622E" w:rsidTr="00A0622E">
        <w:trPr>
          <w:trHeight w:val="27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Общий объем финансирования программы составляет: 512,7 тыс. рублей, в том числе:</w:t>
            </w:r>
          </w:p>
          <w:p w:rsidR="00A0622E" w:rsidRDefault="00A062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областного бюджета – 252,7 тыс. руб.</w:t>
            </w:r>
          </w:p>
          <w:p w:rsidR="00A0622E" w:rsidRDefault="00A062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районного бюджета –  160,0 тыс. руб.</w:t>
            </w:r>
          </w:p>
          <w:p w:rsidR="00A0622E" w:rsidRDefault="00A06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бюджетов поселений – 100,0 тыс. руб.</w:t>
            </w:r>
          </w:p>
        </w:tc>
      </w:tr>
      <w:tr w:rsidR="00A0622E" w:rsidTr="00A0622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Снизился уровень преступности на территории Няндомского             района.</w:t>
            </w:r>
          </w:p>
          <w:p w:rsidR="00A0622E" w:rsidRDefault="00A0622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Повысилась эффективность системы социальной профилактики правонарушений, направленной на активизацию борьбы с пьянством, алкоголизмом, наркоманией, преступностью.</w:t>
            </w:r>
          </w:p>
        </w:tc>
      </w:tr>
    </w:tbl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Приоритеты муниципальной политики в сфере реализации муниципальной программы</w:t>
      </w:r>
    </w:p>
    <w:p w:rsidR="00A0622E" w:rsidRDefault="00A0622E" w:rsidP="00A0622E">
      <w:pPr>
        <w:pStyle w:val="a9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«Профилактика правонарушений и противодействие преступности на территории Няндомского района» разработана в соответствии с Указом Президента РФ от 31.12.2015 № 683 «О стратегии национальной безопасности Российской Федерации» и направлена на осуществление профилактической работы по предупреждению преступлений и иных правонарушений среди взрослых граждан Няндомского района. </w:t>
      </w:r>
    </w:p>
    <w:p w:rsidR="00A0622E" w:rsidRDefault="00A0622E" w:rsidP="00A0622E">
      <w:pPr>
        <w:pStyle w:val="a9"/>
        <w:widowControl w:val="0"/>
        <w:rPr>
          <w:sz w:val="24"/>
          <w:szCs w:val="24"/>
        </w:rPr>
      </w:pPr>
      <w:r>
        <w:rPr>
          <w:sz w:val="24"/>
          <w:szCs w:val="24"/>
        </w:rPr>
        <w:t>За 2019 год число зарегистрированных преступлений по сравнению с 2018 годом возросло на 3,5%, в том числе тяжкого и особо тяжкого характера на 1,5%. Уровень преступности увеличился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 176,1 до 186,3 преступлений на 10 тыс. населения, в том числе тяжкой и особо тяжкой -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25,8 до 26,7. Сократилось число зарегистрированных умышленных причинений тяжкого вреда здоровью на 42,9%, угонов автотранспорта на - 18,2%. Отмечается рост уличной преступности. Значительное количество преступлений совершено лицами, находящимися в состоянии алкогольного опьянения. Большинство пострадавших от преступлений, совершенных в общественных местах и на улицах, также находились в состоянии алкогольного опьянения. </w:t>
      </w:r>
    </w:p>
    <w:p w:rsidR="00A0622E" w:rsidRDefault="00A0622E" w:rsidP="00A0622E">
      <w:pPr>
        <w:pStyle w:val="a9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существует ряд проблемных вопросов, решение которых существенно повлияет на дальнейшее улучшение </w:t>
      </w:r>
      <w:proofErr w:type="gramStart"/>
      <w:r>
        <w:rPr>
          <w:sz w:val="24"/>
          <w:szCs w:val="24"/>
        </w:rPr>
        <w:t>криминогенной обстановки</w:t>
      </w:r>
      <w:proofErr w:type="gramEnd"/>
      <w:r>
        <w:rPr>
          <w:sz w:val="24"/>
          <w:szCs w:val="24"/>
        </w:rPr>
        <w:t xml:space="preserve"> на территории Няндомского района. </w:t>
      </w:r>
      <w:proofErr w:type="gramStart"/>
      <w:r>
        <w:rPr>
          <w:sz w:val="24"/>
          <w:szCs w:val="24"/>
        </w:rPr>
        <w:t>Развертывание программного комплекса технических средств, предусматривающего использование системы видеонаблюдения на территории районного центра г. Няндома, активное привлечение представителей общественных организаций и объединений к мероприятиям правоохранительной направленности, проведение целевых профилактических мероприятий, направленных на предупреждение правонарушений среди взрослых, а также несовершеннолетних «группы риска», в том числе состоящих на учете в ПДН ОМД «Няндомский», будут способствовать развитию положительной динамики раскрываемости уличных преступлений, снижению</w:t>
      </w:r>
      <w:proofErr w:type="gramEnd"/>
      <w:r>
        <w:rPr>
          <w:sz w:val="24"/>
          <w:szCs w:val="24"/>
        </w:rPr>
        <w:t xml:space="preserve"> количества преступлений и правонарушений, обеспечению правопорядка и безопасности на улицах и в других общественных местах Няндомского района.</w:t>
      </w:r>
    </w:p>
    <w:p w:rsidR="00A0622E" w:rsidRDefault="00A0622E" w:rsidP="00A0622E">
      <w:pPr>
        <w:pStyle w:val="a9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Согласно данным, представленным ОМВД России «Няндомский», количество совершенных ДТП за 2019 год сократилось на 20,0%. Также на 20,0% сократилось число ДТП, произошедших по вине водителей. Основными причинами дорожно-транспортных происшествий по вине водителей являются: непредоставление преимущества при проезде перекрестков, нарушение правил расположения транспортного средства на проезжей части, выезд на полосу, предназначенную для встречного движения.</w:t>
      </w:r>
    </w:p>
    <w:p w:rsidR="00A0622E" w:rsidRDefault="00A0622E" w:rsidP="00A0622E">
      <w:pPr>
        <w:pStyle w:val="a9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Непростая криминальная ситуация в Няндомском районе усугубляется рецидивной преступностью.  Существующие в Архангельской области, в том числе и в Няндомском районе, </w:t>
      </w:r>
      <w:r>
        <w:rPr>
          <w:sz w:val="24"/>
          <w:szCs w:val="24"/>
        </w:rPr>
        <w:lastRenderedPageBreak/>
        <w:t>система и практика оказания социальной помощи не обеспечивают реабилитацию в полной мере гражданам, совершившим рецидив. Между тем, каждый третий освобожденный утратил родственные связи и нуждается в бытовом и трудовом устройстве, материальной и медицинской помощи. Отсутствие у данной категории лиц постоянного места жительства, недостаток денежных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уществованию, ряд других экономических факторов являются дополнительными предпосылками совершения преступлений.</w:t>
      </w:r>
    </w:p>
    <w:p w:rsidR="00A0622E" w:rsidRDefault="00A0622E" w:rsidP="00A0622E">
      <w:pPr>
        <w:pStyle w:val="a9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настоящее время проблема распространения наркомании среди населения, в молодежной среде, в том числе среди несовершеннолетних, является весьма актуальной. За последние три года уровень распространения наркомании среди населения остается стабильно высоким. По данным статистики за последние десять лет число наркопотребителей в Архангельской области увеличилось в шесть раз. И если раньше к наркотикам приобщались, как правило, молодые люди, уже достигшие  совершеннолетия, то сейчас смертоносное зелье пробуют уже в школе. На нарко</w:t>
      </w:r>
      <w:bookmarkStart w:id="0" w:name="_GoBack"/>
      <w:bookmarkEnd w:id="0"/>
      <w:r>
        <w:rPr>
          <w:sz w:val="24"/>
          <w:szCs w:val="24"/>
        </w:rPr>
        <w:t xml:space="preserve">рынке появляются новые виды синтетических наркотиков, зависимость от которых в разы сильнее. </w:t>
      </w:r>
    </w:p>
    <w:p w:rsidR="00A0622E" w:rsidRDefault="00A0622E" w:rsidP="00A0622E">
      <w:pPr>
        <w:pStyle w:val="a9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01 января 2020 года в Няндомском районе на медицинском учете состоял 1 несовершеннолетний за употребление наркотических веще</w:t>
      </w:r>
      <w:proofErr w:type="gramStart"/>
      <w:r>
        <w:rPr>
          <w:sz w:val="24"/>
          <w:szCs w:val="24"/>
        </w:rPr>
        <w:t>ств с вр</w:t>
      </w:r>
      <w:proofErr w:type="gramEnd"/>
      <w:r>
        <w:rPr>
          <w:sz w:val="24"/>
          <w:szCs w:val="24"/>
        </w:rPr>
        <w:t>едными для организма последствиями. Под наблюдением взрослого психиатра-нарколога состоит 1 человек с диагнозом «сидром зависимости от наркотических веществ» (больной с диагнозом - наркомания). С диагнозом «употребление наркотических веще</w:t>
      </w:r>
      <w:proofErr w:type="gramStart"/>
      <w:r>
        <w:rPr>
          <w:sz w:val="24"/>
          <w:szCs w:val="24"/>
        </w:rPr>
        <w:t>ств с вр</w:t>
      </w:r>
      <w:proofErr w:type="gramEnd"/>
      <w:r>
        <w:rPr>
          <w:sz w:val="24"/>
          <w:szCs w:val="24"/>
        </w:rPr>
        <w:t>едными для организма последствиями» состоит 9 человек.</w:t>
      </w:r>
    </w:p>
    <w:p w:rsidR="00A0622E" w:rsidRDefault="00A0622E" w:rsidP="00A0622E">
      <w:pPr>
        <w:pStyle w:val="a9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Пропаганда и осуществление среди учащихся образовательных организаций мероприятий по добровольному тестированию, участие специалистов-наркологов в диспансеризациях и медицинских осмотрах учащихся позволят выявлять на ранних стадиях лиц, незаконно потребляющих наркотические средства, повысят эффективность лечения и медико-социальной реабилитации больных наркотической зависимостью. Осуществление культурно-просветительских мероприятий антинаркотической направленности позволит сформировать негативное отношение к незаконному потреблению наркотических средств, токсикомании, пьянству и алкоголизму.</w:t>
      </w:r>
    </w:p>
    <w:p w:rsidR="00A0622E" w:rsidRDefault="00A0622E" w:rsidP="00A0622E">
      <w:pPr>
        <w:pStyle w:val="a9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Предусмотренные данной программой мероприятия должны привести к сокращению не только преступлений, связанных с незаконным оборотом наркотиков, но и совершаемых на почве пьянства и алкоголизма.</w:t>
      </w:r>
    </w:p>
    <w:p w:rsidR="00A0622E" w:rsidRDefault="00A0622E" w:rsidP="00A0622E">
      <w:pPr>
        <w:pStyle w:val="a9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Для эффективного противодействия преступности в Няндомском районе должен быть учтен целый комплекс взаимосвязанных факторов, относящихся к различным сферам жизни общества и деятельности правоохранительных органов, иных органов государственной власти, а также органов местного самоуправления. </w:t>
      </w:r>
    </w:p>
    <w:p w:rsidR="00A0622E" w:rsidRDefault="00A0622E" w:rsidP="00A0622E">
      <w:pPr>
        <w:pStyle w:val="a9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Таким образом, для более эффективного проведения комплекса мер по профилактике преступлений и правонарушений на территории Няндомском района необходимо применение программного метода.</w:t>
      </w:r>
    </w:p>
    <w:p w:rsidR="00A0622E" w:rsidRDefault="00A0622E" w:rsidP="00A062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622E" w:rsidRDefault="00A0622E" w:rsidP="00A06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 муниципальной программы</w:t>
      </w:r>
    </w:p>
    <w:p w:rsidR="00A0622E" w:rsidRDefault="00A0622E" w:rsidP="00A0622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Цель: </w:t>
      </w:r>
    </w:p>
    <w:p w:rsidR="00A0622E" w:rsidRDefault="00A0622E" w:rsidP="00A06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безопасности жизнедеятельности граждан.</w:t>
      </w:r>
    </w:p>
    <w:p w:rsidR="00A0622E" w:rsidRDefault="00A0622E" w:rsidP="00A06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0622E" w:rsidRDefault="00A0622E" w:rsidP="00A06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преступлений и правонарушений на территории Няндомского района;</w:t>
      </w:r>
    </w:p>
    <w:p w:rsidR="00A0622E" w:rsidRDefault="00A0622E" w:rsidP="00A06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позитивного общественного мнения о работе правоохранительных органов;</w:t>
      </w:r>
    </w:p>
    <w:p w:rsidR="00A0622E" w:rsidRDefault="00A0622E" w:rsidP="00A0622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комплексных мероприятий, направленных на формирование в обществе негативного отношения к наркомании и токсикомании.</w:t>
      </w:r>
    </w:p>
    <w:p w:rsidR="00A0622E" w:rsidRDefault="00A0622E" w:rsidP="00A0622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целевых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Профилактика правонарушений и противодействие преступности на территории Няндомского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указан в приложении 2 к 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>Профилактика правонарушений и противодействие преступности на территории Няндомского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0622E" w:rsidRDefault="00A0622E" w:rsidP="00A0622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расчета целевых показателей и источник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 значениях целевых показателей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Профилактика правонарушений и противодействие преступности на территории Няндомского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изложены в приложении 3 к 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>Профилактика правонарушений и противодействие преступности на территории Няндомского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0622E" w:rsidRDefault="00A0622E" w:rsidP="00A0622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622E" w:rsidRDefault="00A0622E" w:rsidP="00A0622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Сроки и этапы реализации  муниципальной программы</w:t>
      </w:r>
    </w:p>
    <w:p w:rsidR="00A0622E" w:rsidRDefault="00A0622E" w:rsidP="00A0622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реализуется с 2021 года по 2024 год в один этап.</w:t>
      </w:r>
    </w:p>
    <w:p w:rsidR="00A0622E" w:rsidRDefault="00A0622E" w:rsidP="00A0622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622E" w:rsidRDefault="00A0622E" w:rsidP="00A0622E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Ресурсное обеспечение реализации муниципальной программы</w:t>
      </w:r>
    </w:p>
    <w:p w:rsidR="00A0622E" w:rsidRDefault="00A0622E" w:rsidP="00A06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 муниципальной программы осуществляется за счет районного бюджета и бюджетов поселений.</w:t>
      </w:r>
    </w:p>
    <w:p w:rsidR="00A0622E" w:rsidRDefault="00A0622E" w:rsidP="00A06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уточняется при формировании бюджетов на очередной финансовый год и плановый период и приведен в приложении 1 к муниципальной программе.</w:t>
      </w: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  <w:szCs w:val="24"/>
        </w:rPr>
        <w:sectPr w:rsidR="00A0622E">
          <w:pgSz w:w="11906" w:h="16838"/>
          <w:pgMar w:top="1134" w:right="707" w:bottom="1134" w:left="1134" w:header="708" w:footer="708" w:gutter="0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245"/>
      </w:tblGrid>
      <w:tr w:rsidR="00A0622E" w:rsidTr="00A0622E">
        <w:tc>
          <w:tcPr>
            <w:tcW w:w="9322" w:type="dxa"/>
          </w:tcPr>
          <w:p w:rsidR="00A0622E" w:rsidRDefault="00A062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</w:t>
            </w:r>
          </w:p>
          <w:p w:rsidR="00A0622E" w:rsidRDefault="00A06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муниципальной программе </w:t>
            </w:r>
          </w:p>
          <w:p w:rsidR="00A0622E" w:rsidRDefault="00A06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правонарушений и противодействие преступности на территории Няндомского района»</w:t>
            </w:r>
          </w:p>
        </w:tc>
      </w:tr>
    </w:tbl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РЕСУРСНОЕ ОБЕСПЕЧЕНИЕ</w:t>
      </w: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реализации муниципальной программы </w:t>
      </w: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«Профилактика правонарушений и противодействие преступности на территории </w:t>
      </w: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Няндомского района»</w:t>
      </w: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Look w:val="04A0"/>
      </w:tblPr>
      <w:tblGrid>
        <w:gridCol w:w="2518"/>
        <w:gridCol w:w="2835"/>
        <w:gridCol w:w="2552"/>
        <w:gridCol w:w="1417"/>
        <w:gridCol w:w="1418"/>
        <w:gridCol w:w="1275"/>
        <w:gridCol w:w="1276"/>
        <w:gridCol w:w="1495"/>
      </w:tblGrid>
      <w:tr w:rsidR="00A0622E" w:rsidTr="00A062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Оценка расходов, тыс. рублей</w:t>
            </w:r>
          </w:p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A0622E" w:rsidTr="00A0622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2024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Итого</w:t>
            </w:r>
          </w:p>
        </w:tc>
      </w:tr>
      <w:tr w:rsidR="00A0622E" w:rsidTr="00A062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</w:tr>
      <w:tr w:rsidR="00A0622E" w:rsidTr="00A0622E">
        <w:trPr>
          <w:trHeight w:val="2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>
              <w:rPr>
                <w:rFonts w:ascii="Times New Roman" w:hAnsi="Times New Roman"/>
                <w:color w:val="000000"/>
              </w:rPr>
              <w:br/>
              <w:t>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правонарушений и противодействие преступности на территории Няндомского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512,7 </w:t>
            </w:r>
          </w:p>
        </w:tc>
      </w:tr>
      <w:tr w:rsidR="00A0622E" w:rsidTr="00A06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0622E" w:rsidTr="00A06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252,7</w:t>
            </w:r>
          </w:p>
        </w:tc>
      </w:tr>
      <w:tr w:rsidR="00A0622E" w:rsidTr="00A06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0622E" w:rsidTr="00A06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0622E" w:rsidTr="00A06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  <w:szCs w:val="24"/>
        </w:rPr>
        <w:sectPr w:rsidR="00A0622E">
          <w:pgSz w:w="16838" w:h="11906" w:orient="landscape"/>
          <w:pgMar w:top="1134" w:right="1134" w:bottom="707" w:left="1134" w:header="708" w:footer="708" w:gutter="0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103"/>
      </w:tblGrid>
      <w:tr w:rsidR="00A0622E" w:rsidTr="00A0622E">
        <w:tc>
          <w:tcPr>
            <w:tcW w:w="9464" w:type="dxa"/>
          </w:tcPr>
          <w:p w:rsidR="00A0622E" w:rsidRDefault="00A062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2</w:t>
            </w:r>
          </w:p>
          <w:p w:rsidR="00A0622E" w:rsidRDefault="00A06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муниципальной программе </w:t>
            </w:r>
          </w:p>
          <w:p w:rsidR="00A0622E" w:rsidRDefault="00A06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правонарушений и противодействие преступности на территории Няндомского района»</w:t>
            </w:r>
          </w:p>
        </w:tc>
      </w:tr>
    </w:tbl>
    <w:p w:rsidR="00A0622E" w:rsidRDefault="00A0622E" w:rsidP="00A0622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ЦЕЛЕВЫХ ПОКАЗАТЕЛЕЙ</w:t>
      </w: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«Профилактика правонарушений и противодействие преступности </w:t>
      </w: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Няндомского района»</w:t>
      </w:r>
    </w:p>
    <w:p w:rsidR="00A0622E" w:rsidRDefault="00A0622E" w:rsidP="00A0622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622E" w:rsidRDefault="00A0622E" w:rsidP="00A062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исполнитель: отдел по молодежной политике и социальным вопросам УСП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6589"/>
        <w:gridCol w:w="1845"/>
        <w:gridCol w:w="1559"/>
        <w:gridCol w:w="1133"/>
        <w:gridCol w:w="1133"/>
        <w:gridCol w:w="1277"/>
        <w:gridCol w:w="1174"/>
      </w:tblGrid>
      <w:tr w:rsidR="00A0622E" w:rsidTr="00A0622E">
        <w:trPr>
          <w:cantSplit/>
          <w:trHeight w:val="240"/>
          <w:jc w:val="center"/>
        </w:trPr>
        <w:tc>
          <w:tcPr>
            <w:tcW w:w="224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1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A0622E" w:rsidTr="00A0622E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22E" w:rsidRDefault="00A06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22E" w:rsidRDefault="00A06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2020 год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A0622E" w:rsidTr="00A0622E">
        <w:trPr>
          <w:cantSplit/>
          <w:trHeight w:val="347"/>
          <w:jc w:val="center"/>
        </w:trPr>
        <w:tc>
          <w:tcPr>
            <w:tcW w:w="224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0622E" w:rsidTr="00A0622E">
        <w:trPr>
          <w:cantSplit/>
          <w:trHeight w:val="347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</w:rPr>
              <w:t>Задача 1 - совершенствование системы профилактики преступлений и правонарушений на территории Няндомского района</w:t>
            </w:r>
          </w:p>
        </w:tc>
      </w:tr>
      <w:tr w:rsidR="00A0622E" w:rsidTr="00A0622E">
        <w:trPr>
          <w:cantSplit/>
          <w:trHeight w:val="240"/>
          <w:jc w:val="center"/>
        </w:trPr>
        <w:tc>
          <w:tcPr>
            <w:tcW w:w="2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публикаций профилактического характера в средствах массовой информации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622E" w:rsidTr="00A0622E">
        <w:trPr>
          <w:cantSplit/>
          <w:trHeight w:val="379"/>
          <w:jc w:val="center"/>
        </w:trPr>
        <w:tc>
          <w:tcPr>
            <w:tcW w:w="2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мероприятий, направленных на повышение уровня безопасности жизнедеятельности граждан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622E" w:rsidTr="00A0622E">
        <w:trPr>
          <w:cantSplit/>
          <w:trHeight w:val="379"/>
          <w:jc w:val="center"/>
        </w:trPr>
        <w:tc>
          <w:tcPr>
            <w:tcW w:w="2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с привлечением народных дружин Няндомского района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622E" w:rsidTr="00A0622E">
        <w:trPr>
          <w:cantSplit/>
          <w:trHeight w:val="379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Задача 2 -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формирование позитивного общественного мнения о работе правоохранительных органов</w:t>
            </w:r>
          </w:p>
        </w:tc>
      </w:tr>
      <w:tr w:rsidR="00A0622E" w:rsidTr="00A0622E">
        <w:trPr>
          <w:cantSplit/>
          <w:trHeight w:val="379"/>
          <w:jc w:val="center"/>
        </w:trPr>
        <w:tc>
          <w:tcPr>
            <w:tcW w:w="2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информационных материалов по вопросу взаимодействия всех органов и учреждений системы профилактики правонарушений, опубликованных в СМИ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622E" w:rsidTr="00A0622E">
        <w:trPr>
          <w:cantSplit/>
          <w:trHeight w:val="379"/>
          <w:jc w:val="center"/>
        </w:trPr>
        <w:tc>
          <w:tcPr>
            <w:tcW w:w="2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(классных часов, лекций, семинаров) с участием сотрудников ОМВД России «Няндомский»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622E" w:rsidTr="00A0622E">
        <w:trPr>
          <w:cantSplit/>
          <w:trHeight w:val="379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</w:rPr>
              <w:t>Задача 3 - организация  комплексных  мероприятий направленных на формирование в обществе негативного отношения к   наркомании  и токсикомании</w:t>
            </w:r>
          </w:p>
        </w:tc>
      </w:tr>
      <w:tr w:rsidR="00A0622E" w:rsidTr="00A0622E">
        <w:trPr>
          <w:cantSplit/>
          <w:trHeight w:val="379"/>
          <w:jc w:val="center"/>
        </w:trPr>
        <w:tc>
          <w:tcPr>
            <w:tcW w:w="2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мероприятий, направленных на профилактику наркомании и токсикомании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</w:t>
            </w:r>
          </w:p>
        </w:tc>
      </w:tr>
      <w:tr w:rsidR="00A0622E" w:rsidTr="00A0622E">
        <w:trPr>
          <w:cantSplit/>
          <w:trHeight w:val="240"/>
          <w:jc w:val="center"/>
        </w:trPr>
        <w:tc>
          <w:tcPr>
            <w:tcW w:w="224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целевого показателя</w:t>
            </w:r>
          </w:p>
        </w:tc>
        <w:tc>
          <w:tcPr>
            <w:tcW w:w="6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13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A0622E" w:rsidTr="00A0622E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22E" w:rsidRDefault="00A06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22E" w:rsidRDefault="00A06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2020 год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A0622E" w:rsidTr="00A0622E">
        <w:trPr>
          <w:cantSplit/>
          <w:trHeight w:val="240"/>
          <w:jc w:val="center"/>
        </w:trPr>
        <w:tc>
          <w:tcPr>
            <w:tcW w:w="2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0622E" w:rsidTr="00A0622E">
        <w:trPr>
          <w:cantSplit/>
          <w:trHeight w:val="240"/>
          <w:jc w:val="center"/>
        </w:trPr>
        <w:tc>
          <w:tcPr>
            <w:tcW w:w="22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публикаций в средствах массовой информации, пропагандирующих ведение здорового образа жизни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245"/>
      </w:tblGrid>
      <w:tr w:rsidR="00A0622E" w:rsidTr="00A0622E">
        <w:tc>
          <w:tcPr>
            <w:tcW w:w="9322" w:type="dxa"/>
          </w:tcPr>
          <w:p w:rsidR="00A0622E" w:rsidRDefault="00A062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3</w:t>
            </w:r>
          </w:p>
          <w:p w:rsidR="00A0622E" w:rsidRDefault="00A06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муниципальной программе </w:t>
            </w:r>
          </w:p>
          <w:p w:rsidR="00A0622E" w:rsidRDefault="00A06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правонарушений и противодействие преступности на территории Няндомского района»</w:t>
            </w:r>
          </w:p>
        </w:tc>
      </w:tr>
    </w:tbl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</w:t>
      </w: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расчета  целевых показателей муниципальной программы и источники информации о значениях целевых показателей муниципальной программы «Профилактика правонарушений и противодействие преступности на территории </w:t>
      </w: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Няндомского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5"/>
        <w:gridCol w:w="5995"/>
        <w:gridCol w:w="3686"/>
      </w:tblGrid>
      <w:tr w:rsidR="00A0622E" w:rsidTr="00A0622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программы, единица измерения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A0622E" w:rsidTr="00A0622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0622E" w:rsidTr="00A0622E">
        <w:trPr>
          <w:jc w:val="center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</w:rPr>
              <w:t>Задача 1 - совершенствование системы профилактики преступлений и правонарушений на территории Няндомского района</w:t>
            </w:r>
          </w:p>
        </w:tc>
      </w:tr>
      <w:tr w:rsidR="00A0622E" w:rsidTr="00A0622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публикаций профилактического характера в средствах массовой информации, единиц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профилактического характера в средствах массовой информации в текущем периоде - количество публикаций профилактического характера в средствах массовой информации в предыдущем периоде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отдела по молодежной политике и социальным вопросам УСП</w:t>
            </w:r>
          </w:p>
        </w:tc>
      </w:tr>
      <w:tr w:rsidR="00A0622E" w:rsidTr="00A0622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мероприятий, направленных на повышение уровня безопасности жизнедеятельности граждан, единиц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повышение уровня безопасности жизнедеятельности граждан в текущем периоде - количество мероприятий, направленных на повышение уровня безопасности жизнедеятельности граждан в предыдущем периоде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учреждений, организаций, задействованных в проведении мероприятий</w:t>
            </w:r>
          </w:p>
        </w:tc>
      </w:tr>
      <w:tr w:rsidR="00A0622E" w:rsidTr="00A0622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с привлечением народных дружин Няндомского района, единиц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 привлечением народных дружин Няндомского района в текущем периоде - количество мероприятий с привлечением народных дружин Няндомского района в предыдущем периоде</w:t>
            </w:r>
          </w:p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отдела по молодежной политике и социальным вопросам УСП</w:t>
            </w:r>
          </w:p>
        </w:tc>
      </w:tr>
      <w:tr w:rsidR="00A0622E" w:rsidTr="00A0622E">
        <w:trPr>
          <w:jc w:val="center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Задача 2 -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формирование позитивного общественного мнения о работе правоохранительных органов</w:t>
            </w:r>
          </w:p>
        </w:tc>
      </w:tr>
      <w:tr w:rsidR="00A0622E" w:rsidTr="00A0622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информационных материалов по вопросу взаимодействия всех органов и учреждений системы профилактики правонарушений, опубликованных в СМИ, единиц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по вопросу взаимодействия всех органов и учреждений системы профилактики правонарушений, опубликованных в СМИ в текущем периоде -  количество информационных материалов по вопросу взаимодействия всех органов и учреждений системы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отдела по молодежной политике и социальным вопросам УСП</w:t>
            </w:r>
          </w:p>
        </w:tc>
      </w:tr>
      <w:tr w:rsidR="00A0622E" w:rsidTr="00A0622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целевых показателей программы, единица измерения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A0622E" w:rsidTr="00A0622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0622E" w:rsidTr="00A0622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правонарушений, опубликованных в СМИ в предыдущем периоде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2E" w:rsidTr="00A0622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(классных часов, лекций, семинаров) с участием сотрудников ОМВД России «Няндомский», единиц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(классных часов, лекций, семинаров) с участием сотрудников ОМВД России «Няндомский» в текущем периоде - количество мероприятий (классных часов, лекций, семинаров) с участием сотрудников ОМВД России «Няндомский» в  предыдущем периоде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учреждений, организаций, задействованных в проведении мероприятий</w:t>
            </w:r>
          </w:p>
        </w:tc>
      </w:tr>
      <w:tr w:rsidR="00A0622E" w:rsidTr="00A0622E">
        <w:trPr>
          <w:jc w:val="center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</w:rPr>
              <w:t>Задача 3 - организация комплексных  мероприятий, направленных на формирование в обществе негативного отношения   к   наркомании  и токсикомании</w:t>
            </w:r>
          </w:p>
        </w:tc>
      </w:tr>
      <w:tr w:rsidR="00A0622E" w:rsidTr="00A0622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мероприятий, направленных на профилактику наркомании и токсикомании, единиц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профилактику наркомании и токсикомании в текущем периоде - количество мероприятий, направленных на профилактику наркомании и токсикомании в предыдущем периоде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учреждений, организаций, задействованных в проведении мероприятий</w:t>
            </w:r>
          </w:p>
        </w:tc>
      </w:tr>
      <w:tr w:rsidR="00A0622E" w:rsidTr="00A0622E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публикаций в средствах массовой информации, пропагандирующих ведение здорового образа жизни, единиц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информации, пропагандирующих ведение здорового образа жизни в текущем периоде - количество публикаций в средствах массовой информации пропагандирующих ведение здорового образа жизни в предыдущем периоде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отдела по молодежной политике и социальным вопросам УСП</w:t>
            </w:r>
          </w:p>
        </w:tc>
      </w:tr>
    </w:tbl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  <w:sectPr w:rsidR="00A0622E">
          <w:pgSz w:w="16838" w:h="11906" w:orient="landscape"/>
          <w:pgMar w:top="1134" w:right="1134" w:bottom="707" w:left="1134" w:header="708" w:footer="708" w:gutter="0"/>
          <w:cols w:space="720"/>
        </w:sectPr>
      </w:pPr>
    </w:p>
    <w:p w:rsidR="00A0622E" w:rsidRDefault="00A0622E" w:rsidP="00A062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5. Мероприятия муниципальной программы</w:t>
      </w:r>
    </w:p>
    <w:p w:rsidR="00A0622E" w:rsidRDefault="00A0622E" w:rsidP="00A06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«Профилактика правонарушений и противодействие преступности на территории </w:t>
      </w:r>
    </w:p>
    <w:p w:rsidR="00A0622E" w:rsidRDefault="00A0622E" w:rsidP="00A062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Няндомского района»</w:t>
      </w:r>
    </w:p>
    <w:tbl>
      <w:tblPr>
        <w:tblStyle w:val="a8"/>
        <w:tblW w:w="0" w:type="auto"/>
        <w:tblLook w:val="04A0"/>
      </w:tblPr>
      <w:tblGrid>
        <w:gridCol w:w="672"/>
        <w:gridCol w:w="4114"/>
        <w:gridCol w:w="2341"/>
        <w:gridCol w:w="2121"/>
        <w:gridCol w:w="1248"/>
        <w:gridCol w:w="985"/>
        <w:gridCol w:w="1122"/>
        <w:gridCol w:w="986"/>
        <w:gridCol w:w="1197"/>
      </w:tblGrid>
      <w:tr w:rsidR="00A0622E" w:rsidTr="00A0622E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Ответственный исполнитель, соисполнитель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Оценка расходов, тыс. руб.</w:t>
            </w:r>
          </w:p>
        </w:tc>
      </w:tr>
      <w:tr w:rsidR="00A0622E" w:rsidTr="00A06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 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г.</w:t>
            </w:r>
          </w:p>
        </w:tc>
      </w:tr>
      <w:tr w:rsidR="00A0622E" w:rsidTr="00A062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A0622E" w:rsidTr="00A0622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pacing w:val="1"/>
                <w:szCs w:val="24"/>
              </w:rPr>
              <w:t>повышение уровня безопасности жизнедеятельности граждан</w:t>
            </w:r>
          </w:p>
        </w:tc>
      </w:tr>
      <w:tr w:rsidR="00A0622E" w:rsidTr="00A0622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Cs w:val="24"/>
              </w:rPr>
              <w:t xml:space="preserve">Задача 1 - </w:t>
            </w:r>
            <w:r>
              <w:rPr>
                <w:rFonts w:ascii="Times New Roman" w:hAnsi="Times New Roman" w:cs="Times New Roman"/>
                <w:b/>
                <w:szCs w:val="24"/>
              </w:rPr>
              <w:t>совершенствование системы профилактики преступлений и правонарушений на территории Няндомского района</w:t>
            </w:r>
          </w:p>
        </w:tc>
      </w:tr>
      <w:tr w:rsidR="00A0622E" w:rsidTr="00A062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Организация работы межведомственной комиссии по профилактике преступлений и правонарушений в Няндомском районе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 по молодежной политике и социальным вопросам УСП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0622E" w:rsidTr="00A0622E">
        <w:trPr>
          <w:trHeight w:val="32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материально-технического стимулирования и страхования участников народных дружин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 по молодежной политике и социальным вопросам УСП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252,7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A0622E" w:rsidTr="00A06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бюджет  МО «Няндомское»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A0622E" w:rsidTr="00A0622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Cs w:val="24"/>
              </w:rPr>
              <w:t xml:space="preserve">Задача 2 - </w:t>
            </w:r>
            <w:r>
              <w:rPr>
                <w:rFonts w:ascii="Times New Roman" w:hAnsi="Times New Roman" w:cs="Times New Roman"/>
                <w:b/>
                <w:szCs w:val="24"/>
              </w:rPr>
              <w:t>формирование позитивного общественного мнения о работе правоохранительных органов</w:t>
            </w:r>
          </w:p>
        </w:tc>
      </w:tr>
      <w:tr w:rsidR="00A0622E" w:rsidTr="00A062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Информационно-пропагандистское сопровождение проводимых мероприятий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 по молодежной политике и социальным вопросам УСП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районный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A0622E" w:rsidTr="00A0622E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pacing w:val="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Cs w:val="24"/>
              </w:rPr>
              <w:t xml:space="preserve">Задача 3 - организация  комплексных  мероприятий, направленных на формирование в обществе негативного отношения </w:t>
            </w:r>
          </w:p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Cs w:val="24"/>
              </w:rPr>
              <w:t>к наркомании и токсикомании</w:t>
            </w:r>
          </w:p>
        </w:tc>
      </w:tr>
      <w:tr w:rsidR="00A0622E" w:rsidTr="00A062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работы межведомственной комиссии по профилактике наркомании и токсикомании в Няндомском районе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 по молодежной политике и социальным вопросам УСП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0622E" w:rsidTr="00A062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недель профилактики на базе образовательных организаций, ГАПОУ АО «НЖК»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образовательные организации,</w:t>
            </w:r>
          </w:p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ГАПОУ АО «НЖК»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0622E" w:rsidTr="00A062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Медицинское освидетельствование граждан призывного возраста при их приписке к призывному участку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ГБУЗ АО «НЦРБ»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0622E" w:rsidTr="00A062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работы по информированию населения о последствиях наркотической зависимости и профилактике употребления наркотиков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 по молодежной политике и социальным вопросам УСП</w:t>
            </w:r>
            <w:r>
              <w:rPr>
                <w:rFonts w:ascii="Times New Roman" w:hAnsi="Times New Roman" w:cs="Times New Roman"/>
                <w:szCs w:val="24"/>
              </w:rPr>
              <w:t xml:space="preserve"> Няндомского района, ОМВД России «Няндомский»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0622E" w:rsidTr="00A0622E">
        <w:trPr>
          <w:trHeight w:val="16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исполнитель, соисполнитель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Источники </w:t>
            </w: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финансирования</w:t>
            </w: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Оценка расходов, тыс. руб.</w:t>
            </w:r>
          </w:p>
        </w:tc>
      </w:tr>
      <w:tr w:rsidR="00A0622E" w:rsidTr="00A0622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 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г.</w:t>
            </w:r>
          </w:p>
        </w:tc>
      </w:tr>
      <w:tr w:rsidR="00A0622E" w:rsidTr="00A0622E">
        <w:trPr>
          <w:trHeight w:val="1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A0622E" w:rsidTr="00A0622E">
        <w:trPr>
          <w:trHeight w:val="37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комплексных мероприятий, направленных на профилактику наркомании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МБУК «НЦРБ»,</w:t>
            </w:r>
          </w:p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районный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30,0</w:t>
            </w:r>
          </w:p>
        </w:tc>
      </w:tr>
      <w:tr w:rsidR="00A0622E" w:rsidTr="00A0622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МБУК «НРЦКС»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районный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A0622E" w:rsidTr="00A062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ОМВД России «Няндомский», </w:t>
            </w:r>
          </w:p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 по молодежной политике и социальным вопросам УСП,</w:t>
            </w:r>
            <w:r>
              <w:rPr>
                <w:rFonts w:ascii="Times New Roman" w:hAnsi="Times New Roman" w:cs="Times New Roman"/>
                <w:szCs w:val="24"/>
              </w:rPr>
              <w:t xml:space="preserve"> образовательные организации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0622E" w:rsidTr="00A0622E"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 по программе: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Итого в т.ч.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332,7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60,0</w:t>
            </w:r>
          </w:p>
        </w:tc>
      </w:tr>
      <w:tr w:rsidR="00A0622E" w:rsidTr="00A0622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Областной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252,7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</w:tr>
      <w:tr w:rsidR="00A0622E" w:rsidTr="00A0622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Районный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40,0</w:t>
            </w:r>
          </w:p>
        </w:tc>
      </w:tr>
      <w:tr w:rsidR="00A0622E" w:rsidTr="00A0622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E" w:rsidRDefault="00A062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Бюджет МО «Няндомское»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E" w:rsidRDefault="00A0622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</w:tr>
    </w:tbl>
    <w:p w:rsidR="00A0622E" w:rsidRDefault="00A0622E" w:rsidP="00A062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0622E" w:rsidRDefault="00A0622E" w:rsidP="00A062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0622E" w:rsidRDefault="00A0622E" w:rsidP="00A0622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0622E" w:rsidRDefault="00A0622E" w:rsidP="00A0622E">
      <w:pPr>
        <w:spacing w:after="0"/>
        <w:rPr>
          <w:rFonts w:ascii="Times New Roman" w:hAnsi="Times New Roman" w:cs="Times New Roman"/>
          <w:sz w:val="24"/>
        </w:rPr>
        <w:sectPr w:rsidR="00A0622E">
          <w:pgSz w:w="16838" w:h="11906" w:orient="landscape"/>
          <w:pgMar w:top="1134" w:right="1134" w:bottom="707" w:left="1134" w:header="708" w:footer="708" w:gutter="0"/>
          <w:cols w:space="720"/>
        </w:sectPr>
      </w:pPr>
    </w:p>
    <w:p w:rsidR="00A0622E" w:rsidRDefault="00A0622E" w:rsidP="00A06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Ожидаемые результаты реализации муниципальной программы</w:t>
      </w:r>
    </w:p>
    <w:p w:rsidR="00A0622E" w:rsidRDefault="00A0622E" w:rsidP="00A06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2E" w:rsidRDefault="00A0622E" w:rsidP="00A06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предполагает достижение следующих результатов:</w:t>
      </w:r>
    </w:p>
    <w:p w:rsidR="00A0622E" w:rsidRDefault="00A0622E" w:rsidP="00A062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снизился уровень преступности на территории Няндомского  района в 2024 году по сравнению с 2020 годом;</w:t>
      </w:r>
    </w:p>
    <w:p w:rsidR="00A0622E" w:rsidRDefault="00A0622E" w:rsidP="00A0622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повысилась эффективность системы социальной профилактики правонарушений, направленной на активизацию борьбы с пьянством, алкоголизмом, наркоманией, преступностью.</w:t>
      </w:r>
    </w:p>
    <w:p w:rsidR="006139F4" w:rsidRPr="00A0622E" w:rsidRDefault="006139F4" w:rsidP="00A0622E">
      <w:pPr>
        <w:rPr>
          <w:szCs w:val="24"/>
        </w:rPr>
      </w:pPr>
    </w:p>
    <w:sectPr w:rsidR="006139F4" w:rsidRPr="00A0622E" w:rsidSect="00F439A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24E"/>
    <w:multiLevelType w:val="multilevel"/>
    <w:tmpl w:val="0EE6FC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3DC3AA4"/>
    <w:multiLevelType w:val="hybridMultilevel"/>
    <w:tmpl w:val="B73E5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628A8"/>
    <w:rsid w:val="0000099A"/>
    <w:rsid w:val="00024EE2"/>
    <w:rsid w:val="000304DF"/>
    <w:rsid w:val="00065BAF"/>
    <w:rsid w:val="00083ADA"/>
    <w:rsid w:val="000922B3"/>
    <w:rsid w:val="00094E1F"/>
    <w:rsid w:val="00095D59"/>
    <w:rsid w:val="000B47D3"/>
    <w:rsid w:val="000C5F52"/>
    <w:rsid w:val="000E13A0"/>
    <w:rsid w:val="000E2140"/>
    <w:rsid w:val="00100A7B"/>
    <w:rsid w:val="0010149D"/>
    <w:rsid w:val="001256D0"/>
    <w:rsid w:val="00136252"/>
    <w:rsid w:val="001366A2"/>
    <w:rsid w:val="001E2330"/>
    <w:rsid w:val="001E589A"/>
    <w:rsid w:val="0023530E"/>
    <w:rsid w:val="0023544C"/>
    <w:rsid w:val="00252AF9"/>
    <w:rsid w:val="002608B9"/>
    <w:rsid w:val="00265BAD"/>
    <w:rsid w:val="002B4CCB"/>
    <w:rsid w:val="002C66DC"/>
    <w:rsid w:val="002E0599"/>
    <w:rsid w:val="002E5C4C"/>
    <w:rsid w:val="00303328"/>
    <w:rsid w:val="00312144"/>
    <w:rsid w:val="00314B13"/>
    <w:rsid w:val="00316416"/>
    <w:rsid w:val="00357DE9"/>
    <w:rsid w:val="0036606B"/>
    <w:rsid w:val="003671A2"/>
    <w:rsid w:val="003738BA"/>
    <w:rsid w:val="003B2AB3"/>
    <w:rsid w:val="003F343B"/>
    <w:rsid w:val="003F3471"/>
    <w:rsid w:val="00415D56"/>
    <w:rsid w:val="004507DD"/>
    <w:rsid w:val="00461140"/>
    <w:rsid w:val="004628A8"/>
    <w:rsid w:val="00486CAD"/>
    <w:rsid w:val="00493220"/>
    <w:rsid w:val="0049674B"/>
    <w:rsid w:val="004A2A1E"/>
    <w:rsid w:val="004B12B2"/>
    <w:rsid w:val="004E488C"/>
    <w:rsid w:val="00511BE4"/>
    <w:rsid w:val="005279CD"/>
    <w:rsid w:val="00537064"/>
    <w:rsid w:val="00540B0E"/>
    <w:rsid w:val="005A08F1"/>
    <w:rsid w:val="005B5D70"/>
    <w:rsid w:val="005E3C1C"/>
    <w:rsid w:val="005E7FC2"/>
    <w:rsid w:val="006139F4"/>
    <w:rsid w:val="00625115"/>
    <w:rsid w:val="00630E66"/>
    <w:rsid w:val="0063528B"/>
    <w:rsid w:val="00672068"/>
    <w:rsid w:val="006A1394"/>
    <w:rsid w:val="006B06E8"/>
    <w:rsid w:val="006D201A"/>
    <w:rsid w:val="006D3E18"/>
    <w:rsid w:val="006F7BD4"/>
    <w:rsid w:val="0072011D"/>
    <w:rsid w:val="00720BA1"/>
    <w:rsid w:val="00742DF0"/>
    <w:rsid w:val="00764C26"/>
    <w:rsid w:val="00781FCC"/>
    <w:rsid w:val="00791D9E"/>
    <w:rsid w:val="00795208"/>
    <w:rsid w:val="007B513F"/>
    <w:rsid w:val="007D21CE"/>
    <w:rsid w:val="007D283A"/>
    <w:rsid w:val="007E7A70"/>
    <w:rsid w:val="00807FA9"/>
    <w:rsid w:val="00813839"/>
    <w:rsid w:val="00824893"/>
    <w:rsid w:val="00826604"/>
    <w:rsid w:val="00833BC5"/>
    <w:rsid w:val="00874C17"/>
    <w:rsid w:val="0088290B"/>
    <w:rsid w:val="008B4589"/>
    <w:rsid w:val="008B7B5C"/>
    <w:rsid w:val="008C6ADB"/>
    <w:rsid w:val="008F44AA"/>
    <w:rsid w:val="00900032"/>
    <w:rsid w:val="00913CE8"/>
    <w:rsid w:val="009145A4"/>
    <w:rsid w:val="00914B65"/>
    <w:rsid w:val="00916DBD"/>
    <w:rsid w:val="0092357A"/>
    <w:rsid w:val="009441BF"/>
    <w:rsid w:val="00953120"/>
    <w:rsid w:val="00963382"/>
    <w:rsid w:val="00964681"/>
    <w:rsid w:val="00991DE4"/>
    <w:rsid w:val="009B2155"/>
    <w:rsid w:val="009C7F09"/>
    <w:rsid w:val="009E5CED"/>
    <w:rsid w:val="009F0AE1"/>
    <w:rsid w:val="009F1652"/>
    <w:rsid w:val="00A03D6B"/>
    <w:rsid w:val="00A0622E"/>
    <w:rsid w:val="00A103D4"/>
    <w:rsid w:val="00A20229"/>
    <w:rsid w:val="00A27B10"/>
    <w:rsid w:val="00A316F4"/>
    <w:rsid w:val="00A46492"/>
    <w:rsid w:val="00A47811"/>
    <w:rsid w:val="00A479D8"/>
    <w:rsid w:val="00A61A23"/>
    <w:rsid w:val="00A65D26"/>
    <w:rsid w:val="00A73105"/>
    <w:rsid w:val="00A8158A"/>
    <w:rsid w:val="00A929C9"/>
    <w:rsid w:val="00AB3475"/>
    <w:rsid w:val="00AB641C"/>
    <w:rsid w:val="00AE6CCF"/>
    <w:rsid w:val="00AF0701"/>
    <w:rsid w:val="00AF106A"/>
    <w:rsid w:val="00AF50AD"/>
    <w:rsid w:val="00B07E89"/>
    <w:rsid w:val="00B52388"/>
    <w:rsid w:val="00B676A5"/>
    <w:rsid w:val="00BA7C67"/>
    <w:rsid w:val="00BC25FF"/>
    <w:rsid w:val="00BC3F5E"/>
    <w:rsid w:val="00BE223A"/>
    <w:rsid w:val="00C03AF4"/>
    <w:rsid w:val="00C12105"/>
    <w:rsid w:val="00C27F70"/>
    <w:rsid w:val="00C53181"/>
    <w:rsid w:val="00C54797"/>
    <w:rsid w:val="00C644B5"/>
    <w:rsid w:val="00C77E10"/>
    <w:rsid w:val="00C837A4"/>
    <w:rsid w:val="00CA48AF"/>
    <w:rsid w:val="00CE284A"/>
    <w:rsid w:val="00CF1EBB"/>
    <w:rsid w:val="00CF65A8"/>
    <w:rsid w:val="00CF6619"/>
    <w:rsid w:val="00D31591"/>
    <w:rsid w:val="00D55F1B"/>
    <w:rsid w:val="00D82E60"/>
    <w:rsid w:val="00D9206C"/>
    <w:rsid w:val="00D920A2"/>
    <w:rsid w:val="00DB1D5D"/>
    <w:rsid w:val="00DE3E0A"/>
    <w:rsid w:val="00DF0857"/>
    <w:rsid w:val="00DF3F76"/>
    <w:rsid w:val="00E132D1"/>
    <w:rsid w:val="00E15F27"/>
    <w:rsid w:val="00E27DDC"/>
    <w:rsid w:val="00E30E9F"/>
    <w:rsid w:val="00E659CC"/>
    <w:rsid w:val="00E804DC"/>
    <w:rsid w:val="00E872BB"/>
    <w:rsid w:val="00E9674A"/>
    <w:rsid w:val="00EE2630"/>
    <w:rsid w:val="00EF1837"/>
    <w:rsid w:val="00F02E98"/>
    <w:rsid w:val="00F06390"/>
    <w:rsid w:val="00F35A56"/>
    <w:rsid w:val="00F37368"/>
    <w:rsid w:val="00F4278E"/>
    <w:rsid w:val="00F439A8"/>
    <w:rsid w:val="00F57D30"/>
    <w:rsid w:val="00F94F85"/>
    <w:rsid w:val="00FA3AA2"/>
    <w:rsid w:val="00FD46DD"/>
    <w:rsid w:val="00FF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8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link w:val="a6"/>
    <w:rsid w:val="004628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ормальный (таблица) Знак"/>
    <w:link w:val="a5"/>
    <w:rsid w:val="004628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E5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E5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8">
    <w:name w:val="Table Grid"/>
    <w:basedOn w:val="a1"/>
    <w:uiPriority w:val="59"/>
    <w:rsid w:val="00E6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ААА"/>
    <w:basedOn w:val="a"/>
    <w:rsid w:val="00095D5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540B0E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0780E-328C-4177-BDD3-FC82CA08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12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SOCPOL12</dc:creator>
  <cp:lastModifiedBy>dubova</cp:lastModifiedBy>
  <cp:revision>14</cp:revision>
  <cp:lastPrinted>2020-11-06T09:13:00Z</cp:lastPrinted>
  <dcterms:created xsi:type="dcterms:W3CDTF">2020-08-13T06:00:00Z</dcterms:created>
  <dcterms:modified xsi:type="dcterms:W3CDTF">2021-11-12T12:24:00Z</dcterms:modified>
</cp:coreProperties>
</file>