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63" w:rsidRDefault="00031763" w:rsidP="00031763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031763" w:rsidRDefault="00031763" w:rsidP="00031763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031763" w:rsidRDefault="00031763" w:rsidP="00031763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031763" w:rsidRDefault="00031763" w:rsidP="00031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МУНИЦИПАЛЬНАЯ ПРОГРАММА </w:t>
      </w:r>
    </w:p>
    <w:p w:rsidR="00031763" w:rsidRDefault="00031763" w:rsidP="00031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«УКРЕПЛЕНИЕ ОБЩЕСТВЕННОГО ЗДОРОВЬЯ НАСЕЛЕНИЯ </w:t>
      </w:r>
    </w:p>
    <w:p w:rsidR="00031763" w:rsidRDefault="00031763" w:rsidP="00031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НЯНДОМСКОГО РАЙОНА»</w:t>
      </w:r>
    </w:p>
    <w:p w:rsidR="00031763" w:rsidRDefault="00031763" w:rsidP="00031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(утв</w:t>
      </w:r>
      <w:proofErr w:type="gramStart"/>
      <w:r>
        <w:rPr>
          <w:rFonts w:ascii="Times New Roman" w:hAnsi="Times New Roman" w:cs="Times New Roman"/>
          <w:sz w:val="24"/>
          <w:szCs w:val="26"/>
        </w:rPr>
        <w:t>.п</w:t>
      </w:r>
      <w:proofErr w:type="gramEnd"/>
      <w:r>
        <w:rPr>
          <w:rFonts w:ascii="Times New Roman" w:hAnsi="Times New Roman" w:cs="Times New Roman"/>
          <w:sz w:val="24"/>
          <w:szCs w:val="26"/>
        </w:rPr>
        <w:t>остановлением от 10.11.2020г. №440-па, от 10.11.2021г. №273-па, от 19.12.2022г. №428-па)</w:t>
      </w:r>
    </w:p>
    <w:p w:rsidR="00031763" w:rsidRDefault="00031763" w:rsidP="00031763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031763" w:rsidRDefault="00031763" w:rsidP="00031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31763" w:rsidRDefault="00031763" w:rsidP="00031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31763" w:rsidRDefault="00031763" w:rsidP="00031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«Укрепление общественного здоровья населения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3"/>
        <w:gridCol w:w="7776"/>
      </w:tblGrid>
      <w:tr w:rsidR="00031763" w:rsidTr="00031763">
        <w:trPr>
          <w:trHeight w:val="14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общественного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31763" w:rsidTr="00031763">
        <w:trPr>
          <w:trHeight w:val="14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молодежной политике и социальным вопросам Управления социальной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Архангельской области  (далее – отдел по молодежной политике и социальным вопросам УСП)</w:t>
            </w:r>
          </w:p>
        </w:tc>
      </w:tr>
      <w:tr w:rsidR="00031763" w:rsidTr="00031763">
        <w:trPr>
          <w:trHeight w:val="14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3" w:rsidRDefault="00031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ГБУЗ 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Няндомская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центральная районная больница»</w:t>
            </w:r>
          </w:p>
          <w:p w:rsidR="00031763" w:rsidRDefault="00031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763" w:rsidTr="00031763">
        <w:trPr>
          <w:trHeight w:val="14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органы местного самоуправления поселений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района;</w:t>
            </w:r>
          </w:p>
          <w:p w:rsidR="00031763" w:rsidRDefault="00031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Архангельской области;</w:t>
            </w:r>
          </w:p>
          <w:p w:rsidR="00031763" w:rsidRDefault="00031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 по физической культуре и спорту Управления социальной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района;</w:t>
            </w:r>
          </w:p>
          <w:p w:rsidR="00031763" w:rsidRDefault="00031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муниципальная комиссия по делам несовершеннолетних и защите их прав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Архангельской области;</w:t>
            </w:r>
          </w:p>
          <w:p w:rsidR="00031763" w:rsidRDefault="00031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муниципальные бюджетные учреждения культуры;</w:t>
            </w:r>
          </w:p>
          <w:p w:rsidR="00031763" w:rsidRDefault="00031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 школа»;</w:t>
            </w:r>
          </w:p>
          <w:p w:rsidR="00031763" w:rsidRDefault="00031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образовательные организации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района;</w:t>
            </w:r>
          </w:p>
          <w:p w:rsidR="00031763" w:rsidRDefault="00031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общественные организации и объединения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волонтеры, в том числе волонтеры - медики;</w:t>
            </w:r>
          </w:p>
          <w:p w:rsidR="00031763" w:rsidRDefault="00031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организации, предприятия и учреждения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31763" w:rsidTr="00031763">
        <w:trPr>
          <w:trHeight w:val="14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Цель:</w:t>
            </w:r>
          </w:p>
          <w:p w:rsidR="00031763" w:rsidRDefault="00031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формирование системы мотивации жителей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района к ведению здорового образа жизни, включая здоровое питание и отказ от вредных привычек</w:t>
            </w:r>
          </w:p>
          <w:p w:rsidR="00031763" w:rsidRDefault="00031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Задачи:</w:t>
            </w:r>
          </w:p>
          <w:p w:rsidR="00031763" w:rsidRDefault="00031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мотивирование граждан к ведению здорового образа жизни и отказу от вредных привычек посредством проведения информационно-коммуникационной кампании, а также вовлечения граждан в мероприятия по укреплению здоровья;</w:t>
            </w:r>
          </w:p>
          <w:p w:rsidR="00031763" w:rsidRDefault="00031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поддержка граждан, нуждающихся в оказании специализированной медицинской помощи в связи с заболеваниями, требующими специальных методов диагностики, лечения и использования сложных медицинских технологий</w:t>
            </w:r>
          </w:p>
        </w:tc>
      </w:tr>
      <w:tr w:rsidR="00031763" w:rsidTr="00031763">
        <w:trPr>
          <w:trHeight w:val="54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2021 года по 2024 год в один этап  </w:t>
            </w:r>
          </w:p>
        </w:tc>
      </w:tr>
      <w:tr w:rsidR="00031763" w:rsidTr="00031763">
        <w:trPr>
          <w:trHeight w:val="35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программы составляет: 690,0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031763" w:rsidRDefault="00031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 -  0,0 тыс. руб.</w:t>
            </w:r>
          </w:p>
          <w:p w:rsidR="00031763" w:rsidRDefault="00031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областного бюджета – 0,0 тыс. руб.</w:t>
            </w:r>
          </w:p>
          <w:p w:rsidR="00031763" w:rsidRDefault="00031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районного бюджета –  690,0 тыс. руб.</w:t>
            </w:r>
          </w:p>
          <w:p w:rsidR="00031763" w:rsidRDefault="00031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бюджетов поселений - 0,0 тыс. руб.</w:t>
            </w:r>
          </w:p>
          <w:p w:rsidR="00031763" w:rsidRDefault="00031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31763" w:rsidRDefault="00031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031763" w:rsidRDefault="00031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210,0 тыс. руб.;</w:t>
            </w:r>
          </w:p>
          <w:p w:rsidR="00031763" w:rsidRDefault="00031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60,0 тыс. руб.;</w:t>
            </w:r>
          </w:p>
          <w:p w:rsidR="00031763" w:rsidRDefault="00031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210,0 тыс. руб.;</w:t>
            </w:r>
          </w:p>
          <w:p w:rsidR="00031763" w:rsidRDefault="00031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210,0 тыс. руб.</w:t>
            </w:r>
          </w:p>
        </w:tc>
      </w:tr>
      <w:tr w:rsidR="00031763" w:rsidTr="00031763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мероприятий, направленных на пропаганду здорового образа жизни и укрепления здоровья, до 15 единиц в год;</w:t>
            </w:r>
          </w:p>
          <w:p w:rsidR="00031763" w:rsidRDefault="000317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охвата населения, участвующего в мероприятиях, направленных на пропаганду здорового образа жизни и укрепления здоровья, до 45 %;</w:t>
            </w:r>
          </w:p>
          <w:p w:rsidR="00031763" w:rsidRDefault="000317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охвата населения диспансеризации до 45 %. </w:t>
            </w:r>
          </w:p>
        </w:tc>
      </w:tr>
    </w:tbl>
    <w:p w:rsidR="00031763" w:rsidRDefault="00031763" w:rsidP="00031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63" w:rsidRDefault="00031763" w:rsidP="00031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Приоритеты муниципальной политики в сфере реализации муниципальных программ</w:t>
      </w:r>
    </w:p>
    <w:p w:rsidR="00031763" w:rsidRDefault="00031763" w:rsidP="00031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Географическая характеристика</w:t>
      </w:r>
    </w:p>
    <w:p w:rsidR="00031763" w:rsidRDefault="00031763" w:rsidP="00031763">
      <w:pPr>
        <w:pStyle w:val="a9"/>
        <w:widowControl w:val="0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Няндомский</w:t>
      </w:r>
      <w:proofErr w:type="spellEnd"/>
      <w:r>
        <w:rPr>
          <w:sz w:val="24"/>
          <w:szCs w:val="24"/>
        </w:rPr>
        <w:t xml:space="preserve"> район образован в августе 1929 года и расположен на юго-западе Архангельской области. Площадь района - 809 тысяч га, что составляет 1/50 часть территории Архангельской области. </w:t>
      </w:r>
    </w:p>
    <w:p w:rsidR="00031763" w:rsidRDefault="00031763" w:rsidP="00031763">
      <w:pPr>
        <w:pStyle w:val="a9"/>
        <w:widowControl w:val="0"/>
        <w:spacing w:line="276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Няндомский</w:t>
      </w:r>
      <w:proofErr w:type="spellEnd"/>
      <w:r>
        <w:rPr>
          <w:sz w:val="24"/>
          <w:szCs w:val="24"/>
        </w:rPr>
        <w:t xml:space="preserve"> муниципальный район Архангельской области граничит на северо-западе с </w:t>
      </w:r>
      <w:proofErr w:type="spellStart"/>
      <w:r>
        <w:rPr>
          <w:sz w:val="24"/>
          <w:szCs w:val="24"/>
        </w:rPr>
        <w:t>Плесецким</w:t>
      </w:r>
      <w:proofErr w:type="spellEnd"/>
      <w:r>
        <w:rPr>
          <w:sz w:val="24"/>
          <w:szCs w:val="24"/>
        </w:rPr>
        <w:t xml:space="preserve">, на юге - с </w:t>
      </w:r>
      <w:proofErr w:type="spellStart"/>
      <w:r>
        <w:rPr>
          <w:sz w:val="24"/>
          <w:szCs w:val="24"/>
        </w:rPr>
        <w:t>Коношским</w:t>
      </w:r>
      <w:proofErr w:type="spellEnd"/>
      <w:r>
        <w:rPr>
          <w:sz w:val="24"/>
          <w:szCs w:val="24"/>
        </w:rPr>
        <w:t xml:space="preserve"> и Вельским, на западе - с </w:t>
      </w:r>
      <w:proofErr w:type="spellStart"/>
      <w:r>
        <w:rPr>
          <w:sz w:val="24"/>
          <w:szCs w:val="24"/>
        </w:rPr>
        <w:t>Каргопольским</w:t>
      </w:r>
      <w:proofErr w:type="spellEnd"/>
      <w:r>
        <w:rPr>
          <w:sz w:val="24"/>
          <w:szCs w:val="24"/>
        </w:rPr>
        <w:t xml:space="preserve"> и на востоке - с Шенкурским муниципальными районами Архангельской области. </w:t>
      </w:r>
      <w:r>
        <w:rPr>
          <w:color w:val="000000"/>
          <w:sz w:val="24"/>
          <w:szCs w:val="24"/>
        </w:rPr>
        <w:t>Максимальная удаленность сельских населенных пунктов от районного центра составляет 130 км.</w:t>
      </w:r>
    </w:p>
    <w:p w:rsidR="00031763" w:rsidRDefault="00031763" w:rsidP="00031763">
      <w:pPr>
        <w:pStyle w:val="a9"/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1.2. Демографическая характеристика</w:t>
      </w:r>
    </w:p>
    <w:p w:rsidR="00031763" w:rsidRDefault="00031763" w:rsidP="00031763">
      <w:pPr>
        <w:pStyle w:val="a9"/>
        <w:widowControl w:val="0"/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составе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муниципального района Архангельской области 1 </w:t>
      </w:r>
      <w:proofErr w:type="gramStart"/>
      <w:r>
        <w:rPr>
          <w:sz w:val="24"/>
          <w:szCs w:val="24"/>
        </w:rPr>
        <w:t>городское</w:t>
      </w:r>
      <w:proofErr w:type="gramEnd"/>
      <w:r>
        <w:rPr>
          <w:sz w:val="24"/>
          <w:szCs w:val="24"/>
        </w:rPr>
        <w:t xml:space="preserve"> и 2 сельских поселения.  Общая численность населения на 01 января 2020 года составляет чуть более 25, 0 тыс. чел., </w:t>
      </w:r>
      <w:r>
        <w:rPr>
          <w:color w:val="000000"/>
          <w:sz w:val="24"/>
          <w:szCs w:val="24"/>
        </w:rPr>
        <w:t xml:space="preserve">из них 76,4% проживает в городе, 23,6 % - в сельской местности. </w:t>
      </w:r>
    </w:p>
    <w:p w:rsidR="00031763" w:rsidRDefault="00031763" w:rsidP="00031763">
      <w:pPr>
        <w:pStyle w:val="a9"/>
        <w:widowControl w:val="0"/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</w:t>
      </w:r>
    </w:p>
    <w:p w:rsidR="00031763" w:rsidRDefault="00031763" w:rsidP="0003176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Естественное движение населения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Няндомского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8"/>
        <w:tblW w:w="4990" w:type="pct"/>
        <w:jc w:val="center"/>
        <w:tblLook w:val="01E0"/>
      </w:tblPr>
      <w:tblGrid>
        <w:gridCol w:w="5651"/>
        <w:gridCol w:w="1537"/>
        <w:gridCol w:w="1537"/>
        <w:gridCol w:w="1535"/>
      </w:tblGrid>
      <w:tr w:rsidR="00031763" w:rsidTr="00031763">
        <w:trPr>
          <w:trHeight w:val="263"/>
          <w:jc w:val="center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031763" w:rsidTr="00031763">
        <w:trPr>
          <w:trHeight w:val="288"/>
          <w:jc w:val="center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ind w:left="252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Рождаемость (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чел.)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228</w:t>
            </w:r>
          </w:p>
        </w:tc>
      </w:tr>
      <w:tr w:rsidR="00031763" w:rsidTr="00031763">
        <w:trPr>
          <w:trHeight w:val="276"/>
          <w:jc w:val="center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Смертность (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чел.)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  <w:tr w:rsidR="00031763" w:rsidTr="00031763">
        <w:trPr>
          <w:jc w:val="center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Младенческая смертность (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чел.)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1763" w:rsidTr="00031763">
        <w:trPr>
          <w:jc w:val="center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tabs>
                <w:tab w:val="left" w:pos="3270"/>
              </w:tabs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Естественный прирост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‰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- 6,7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- 5,8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- 5,8</w:t>
            </w:r>
          </w:p>
        </w:tc>
      </w:tr>
    </w:tbl>
    <w:p w:rsidR="00031763" w:rsidRDefault="00031763" w:rsidP="00031763">
      <w:pPr>
        <w:pStyle w:val="a9"/>
        <w:widowControl w:val="0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Отрицательный естественный прирост </w:t>
      </w:r>
      <w:r>
        <w:rPr>
          <w:color w:val="000000" w:themeColor="text1"/>
          <w:sz w:val="24"/>
          <w:szCs w:val="24"/>
        </w:rPr>
        <w:t>является од</w:t>
      </w:r>
      <w:r>
        <w:rPr>
          <w:color w:val="000000" w:themeColor="text1"/>
          <w:sz w:val="24"/>
          <w:szCs w:val="24"/>
        </w:rPr>
        <w:softHyphen/>
        <w:t>ним из неблагоприятных демографических явлений, свидете</w:t>
      </w:r>
      <w:r>
        <w:rPr>
          <w:color w:val="000000" w:themeColor="text1"/>
          <w:sz w:val="24"/>
          <w:szCs w:val="24"/>
        </w:rPr>
        <w:softHyphen/>
        <w:t>льствующий о сокращении численности населения.</w:t>
      </w:r>
    </w:p>
    <w:p w:rsidR="00031763" w:rsidRDefault="00031763" w:rsidP="00031763">
      <w:pPr>
        <w:pStyle w:val="a9"/>
        <w:widowControl w:val="0"/>
        <w:spacing w:line="360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Таблица 2</w:t>
      </w:r>
    </w:p>
    <w:p w:rsidR="00031763" w:rsidRDefault="00031763" w:rsidP="00031763">
      <w:pPr>
        <w:pStyle w:val="a9"/>
        <w:widowControl w:val="0"/>
        <w:spacing w:line="276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Динамика </w:t>
      </w:r>
      <w:proofErr w:type="gramStart"/>
      <w:r>
        <w:rPr>
          <w:b/>
          <w:color w:val="000000" w:themeColor="text1"/>
          <w:sz w:val="24"/>
          <w:szCs w:val="24"/>
        </w:rPr>
        <w:t>умерших</w:t>
      </w:r>
      <w:proofErr w:type="gramEnd"/>
      <w:r>
        <w:rPr>
          <w:b/>
          <w:color w:val="000000" w:themeColor="text1"/>
          <w:sz w:val="24"/>
          <w:szCs w:val="24"/>
        </w:rPr>
        <w:t xml:space="preserve"> в трудоспособном возрасте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276"/>
        <w:gridCol w:w="1276"/>
        <w:gridCol w:w="1134"/>
        <w:gridCol w:w="1275"/>
      </w:tblGrid>
      <w:tr w:rsidR="00031763" w:rsidTr="00031763">
        <w:trPr>
          <w:trHeight w:val="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 год</w:t>
            </w:r>
          </w:p>
        </w:tc>
      </w:tr>
      <w:tr w:rsidR="00031763" w:rsidTr="00031763">
        <w:trPr>
          <w:trHeight w:val="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умерших в трудоспособном возрасте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031763" w:rsidTr="00031763">
        <w:trPr>
          <w:trHeight w:val="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мужчины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</w:tr>
      <w:tr w:rsidR="00031763" w:rsidTr="00031763">
        <w:trPr>
          <w:trHeight w:val="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женщины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031763" w:rsidRDefault="00031763" w:rsidP="00031763">
      <w:pPr>
        <w:pStyle w:val="a9"/>
        <w:widowControl w:val="0"/>
        <w:spacing w:line="276" w:lineRule="auto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Смертность мужчин во всех возрастных группах выше смертности женщин, особенно в трудоспособном возрасте. </w:t>
      </w:r>
    </w:p>
    <w:p w:rsidR="00031763" w:rsidRDefault="00031763" w:rsidP="00031763">
      <w:pPr>
        <w:pStyle w:val="a9"/>
        <w:widowControl w:val="0"/>
        <w:spacing w:line="276" w:lineRule="auto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lastRenderedPageBreak/>
        <w:t>1.3. Заболеваемость от неинфекционных заболеваний (НИЗ)</w:t>
      </w:r>
    </w:p>
    <w:p w:rsidR="00031763" w:rsidRDefault="00031763" w:rsidP="00031763">
      <w:pPr>
        <w:pStyle w:val="a9"/>
        <w:widowControl w:val="0"/>
        <w:spacing w:line="240" w:lineRule="auto"/>
        <w:jc w:val="right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Таблица 3</w:t>
      </w:r>
    </w:p>
    <w:p w:rsidR="00031763" w:rsidRDefault="00031763" w:rsidP="00031763">
      <w:pPr>
        <w:pStyle w:val="a9"/>
        <w:widowControl w:val="0"/>
        <w:spacing w:line="276" w:lineRule="auto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Доминирующие заболевания</w:t>
      </w:r>
    </w:p>
    <w:tbl>
      <w:tblPr>
        <w:tblW w:w="1035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4"/>
        <w:gridCol w:w="1276"/>
        <w:gridCol w:w="1134"/>
        <w:gridCol w:w="992"/>
        <w:gridCol w:w="992"/>
        <w:gridCol w:w="992"/>
      </w:tblGrid>
      <w:tr w:rsidR="00031763" w:rsidTr="00031763">
        <w:trPr>
          <w:trHeight w:hRule="exact"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240"/>
              <w:ind w:left="2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2018 год</w:t>
            </w:r>
          </w:p>
        </w:tc>
      </w:tr>
      <w:tr w:rsidR="00031763" w:rsidTr="00031763">
        <w:trPr>
          <w:trHeight w:hRule="exact"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Болезни органов дыхания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14219</w:t>
            </w:r>
          </w:p>
        </w:tc>
      </w:tr>
      <w:tr w:rsidR="00031763" w:rsidTr="00031763">
        <w:trPr>
          <w:trHeight w:hRule="exact" w:val="4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Болезни системы кровообращения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5202</w:t>
            </w:r>
          </w:p>
        </w:tc>
      </w:tr>
      <w:tr w:rsidR="00031763" w:rsidTr="00031763">
        <w:trPr>
          <w:trHeight w:hRule="exact"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Болезни органов пищеварения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3624</w:t>
            </w:r>
          </w:p>
        </w:tc>
      </w:tr>
      <w:tr w:rsidR="00031763" w:rsidTr="00031763">
        <w:trPr>
          <w:trHeight w:hRule="exact" w:val="4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Болезни костно-мышечной системы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2643</w:t>
            </w:r>
          </w:p>
        </w:tc>
      </w:tr>
      <w:tr w:rsidR="00031763" w:rsidTr="00031763">
        <w:trPr>
          <w:trHeight w:hRule="exact"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Болезни эндокринной системы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</w:tr>
    </w:tbl>
    <w:p w:rsidR="00031763" w:rsidRDefault="00031763" w:rsidP="00031763">
      <w:pPr>
        <w:pStyle w:val="a9"/>
        <w:widowControl w:val="0"/>
        <w:spacing w:line="240" w:lineRule="auto"/>
        <w:ind w:firstLine="0"/>
        <w:rPr>
          <w:b/>
          <w:color w:val="000000"/>
          <w:spacing w:val="3"/>
          <w:sz w:val="24"/>
          <w:szCs w:val="24"/>
        </w:rPr>
      </w:pPr>
    </w:p>
    <w:p w:rsidR="00031763" w:rsidRDefault="00031763" w:rsidP="00031763">
      <w:pPr>
        <w:pStyle w:val="a9"/>
        <w:widowControl w:val="0"/>
        <w:spacing w:line="240" w:lineRule="auto"/>
        <w:jc w:val="right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Таблица 4</w:t>
      </w:r>
    </w:p>
    <w:p w:rsidR="00031763" w:rsidRDefault="00031763" w:rsidP="00031763">
      <w:pPr>
        <w:pStyle w:val="a9"/>
        <w:widowControl w:val="0"/>
        <w:spacing w:line="276" w:lineRule="auto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Доминирующие причины смертности</w:t>
      </w:r>
    </w:p>
    <w:tbl>
      <w:tblPr>
        <w:tblW w:w="1035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22"/>
        <w:gridCol w:w="1134"/>
        <w:gridCol w:w="1134"/>
        <w:gridCol w:w="1134"/>
        <w:gridCol w:w="992"/>
        <w:gridCol w:w="1134"/>
      </w:tblGrid>
      <w:tr w:rsidR="00031763" w:rsidTr="00031763">
        <w:trPr>
          <w:trHeight w:hRule="exact" w:val="54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2018 год</w:t>
            </w:r>
          </w:p>
        </w:tc>
      </w:tr>
      <w:tr w:rsidR="00031763" w:rsidTr="00031763">
        <w:trPr>
          <w:trHeight w:hRule="exact" w:val="43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Болезни системы кровообращения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031763" w:rsidTr="00031763">
        <w:trPr>
          <w:trHeight w:hRule="exact" w:val="42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Новообразования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031763" w:rsidTr="00031763">
        <w:trPr>
          <w:trHeight w:hRule="exact" w:val="42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Внешние причины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31763" w:rsidTr="00031763">
        <w:trPr>
          <w:trHeight w:hRule="exact" w:val="42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Болезни органов пищеварения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1763" w:rsidTr="00031763">
        <w:trPr>
          <w:trHeight w:hRule="exact" w:val="30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Болезни органов дыхания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763" w:rsidRDefault="00031763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031763" w:rsidRDefault="00031763" w:rsidP="00031763">
      <w:pPr>
        <w:pStyle w:val="a9"/>
        <w:widowControl w:val="0"/>
        <w:spacing w:line="240" w:lineRule="auto"/>
        <w:rPr>
          <w:sz w:val="24"/>
          <w:szCs w:val="24"/>
        </w:rPr>
      </w:pPr>
    </w:p>
    <w:p w:rsidR="00031763" w:rsidRDefault="00031763" w:rsidP="00031763">
      <w:pPr>
        <w:pStyle w:val="a9"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1.4. Доступность в области общественного здоровья</w:t>
      </w:r>
    </w:p>
    <w:p w:rsidR="00031763" w:rsidRDefault="00031763" w:rsidP="00031763">
      <w:pPr>
        <w:pStyle w:val="a9"/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Здоровье - бесценное достояние не только каждого человека, но и всего общества. Каждому из нас присуще желание быть сильным и здоровым, сохранить как можно дольше подвижность, бодрость, энергию и достичь долголетия. Это - главная ценность жизни. На страже здоровья людей стоят учреждения здравоохранения.</w:t>
      </w:r>
    </w:p>
    <w:p w:rsidR="00031763" w:rsidRDefault="00031763" w:rsidP="00031763">
      <w:pPr>
        <w:pStyle w:val="a9"/>
        <w:widowControl w:val="0"/>
        <w:spacing w:line="360" w:lineRule="auto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Медицинскую помощь населению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района оказывают два учреждения здравоохранения: ГБУЗ АО «</w:t>
      </w:r>
      <w:proofErr w:type="spellStart"/>
      <w:r>
        <w:rPr>
          <w:sz w:val="24"/>
          <w:szCs w:val="24"/>
        </w:rPr>
        <w:t>Няндомская</w:t>
      </w:r>
      <w:proofErr w:type="spellEnd"/>
      <w:r>
        <w:rPr>
          <w:sz w:val="24"/>
          <w:szCs w:val="24"/>
        </w:rPr>
        <w:t xml:space="preserve"> ЦРБ» (далее – </w:t>
      </w:r>
      <w:proofErr w:type="spellStart"/>
      <w:r>
        <w:rPr>
          <w:sz w:val="24"/>
          <w:szCs w:val="24"/>
        </w:rPr>
        <w:t>Няндомская</w:t>
      </w:r>
      <w:proofErr w:type="spellEnd"/>
      <w:r>
        <w:rPr>
          <w:sz w:val="24"/>
          <w:szCs w:val="24"/>
        </w:rPr>
        <w:t xml:space="preserve"> ЦРБ) и НУЗ «Узловая больница на ст. Няндома ОАО «РЖД». </w:t>
      </w:r>
      <w:r>
        <w:rPr>
          <w:sz w:val="24"/>
          <w:szCs w:val="24"/>
          <w:lang w:eastAsia="ar-SA"/>
        </w:rPr>
        <w:t xml:space="preserve">Из-за отсутствия некоторых служб в узловой больнице, а именно: педиатрической, инфекционной, наркологической, психиатрической, фтизиатрической, акушерской, скорой медицинской помощи, по данным направлениям </w:t>
      </w:r>
      <w:proofErr w:type="spellStart"/>
      <w:r>
        <w:rPr>
          <w:sz w:val="24"/>
          <w:szCs w:val="24"/>
          <w:lang w:eastAsia="ar-SA"/>
        </w:rPr>
        <w:t>Няндомская</w:t>
      </w:r>
      <w:proofErr w:type="spellEnd"/>
      <w:r>
        <w:rPr>
          <w:sz w:val="24"/>
          <w:szCs w:val="24"/>
          <w:lang w:eastAsia="ar-SA"/>
        </w:rPr>
        <w:t xml:space="preserve"> ЦРБ обслуживает население всего района. Также, с 2014 года в связи с закрытием круглосуточных коек в НУЗ «Узловая больница на ст. Няндома ОАО «РЖД» специализированную стационарную помощь в районе оказывает только ГБУЗ АО «</w:t>
      </w:r>
      <w:proofErr w:type="spellStart"/>
      <w:r>
        <w:rPr>
          <w:sz w:val="24"/>
          <w:szCs w:val="24"/>
          <w:lang w:eastAsia="ar-SA"/>
        </w:rPr>
        <w:t>Няндомская</w:t>
      </w:r>
      <w:proofErr w:type="spellEnd"/>
      <w:r>
        <w:rPr>
          <w:sz w:val="24"/>
          <w:szCs w:val="24"/>
          <w:lang w:eastAsia="ar-SA"/>
        </w:rPr>
        <w:t xml:space="preserve"> ЦРБ».</w:t>
      </w:r>
    </w:p>
    <w:p w:rsidR="00031763" w:rsidRDefault="00031763" w:rsidP="00031763">
      <w:pPr>
        <w:pStyle w:val="a9"/>
        <w:widowControl w:val="0"/>
        <w:spacing w:line="360" w:lineRule="auto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Таблица 5</w:t>
      </w:r>
    </w:p>
    <w:p w:rsidR="00031763" w:rsidRDefault="00031763" w:rsidP="00031763">
      <w:pPr>
        <w:pStyle w:val="a9"/>
        <w:widowControl w:val="0"/>
        <w:spacing w:line="276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Структура ГБУЗ АО «</w:t>
      </w:r>
      <w:proofErr w:type="spellStart"/>
      <w:r>
        <w:rPr>
          <w:b/>
          <w:sz w:val="24"/>
          <w:szCs w:val="24"/>
          <w:lang w:eastAsia="ar-SA"/>
        </w:rPr>
        <w:t>Няндомская</w:t>
      </w:r>
      <w:proofErr w:type="spellEnd"/>
      <w:r>
        <w:rPr>
          <w:b/>
          <w:sz w:val="24"/>
          <w:szCs w:val="24"/>
          <w:lang w:eastAsia="ar-SA"/>
        </w:rPr>
        <w:t xml:space="preserve"> центральная районная больница»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8"/>
        <w:gridCol w:w="1985"/>
        <w:gridCol w:w="1807"/>
        <w:gridCol w:w="783"/>
        <w:gridCol w:w="1319"/>
        <w:gridCol w:w="1828"/>
      </w:tblGrid>
      <w:tr w:rsidR="00031763" w:rsidTr="00031763">
        <w:trPr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7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Входящие структурные подразделения</w:t>
            </w:r>
          </w:p>
        </w:tc>
      </w:tr>
      <w:tr w:rsidR="00031763" w:rsidTr="000317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Участковые больницы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Амбулатории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Кабинеты ВОП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</w:t>
            </w:r>
          </w:p>
        </w:tc>
      </w:tr>
      <w:tr w:rsidR="00031763" w:rsidTr="00031763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Шалакушская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Мошинская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3" w:rsidRDefault="00031763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1763" w:rsidRDefault="00031763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3" w:rsidRDefault="00031763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1763" w:rsidRDefault="00031763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домовых хозяйства</w:t>
            </w:r>
          </w:p>
        </w:tc>
      </w:tr>
    </w:tbl>
    <w:p w:rsidR="00031763" w:rsidRDefault="00031763" w:rsidP="00031763">
      <w:pPr>
        <w:pStyle w:val="a9"/>
        <w:widowControl w:val="0"/>
        <w:spacing w:line="240" w:lineRule="auto"/>
        <w:rPr>
          <w:sz w:val="24"/>
          <w:szCs w:val="24"/>
          <w:lang w:eastAsia="ar-SA"/>
        </w:rPr>
      </w:pPr>
    </w:p>
    <w:p w:rsidR="00031763" w:rsidRDefault="00031763" w:rsidP="00031763">
      <w:pPr>
        <w:pStyle w:val="a9"/>
        <w:widowControl w:val="0"/>
        <w:spacing w:line="360" w:lineRule="auto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Круглосуточная стационарная </w:t>
      </w:r>
      <w:proofErr w:type="gramStart"/>
      <w:r>
        <w:rPr>
          <w:sz w:val="24"/>
          <w:szCs w:val="24"/>
        </w:rPr>
        <w:t>помощь</w:t>
      </w:r>
      <w:proofErr w:type="gramEnd"/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оказывается</w:t>
      </w:r>
      <w:r>
        <w:rPr>
          <w:rFonts w:eastAsia="Calibri"/>
          <w:sz w:val="24"/>
          <w:szCs w:val="24"/>
        </w:rPr>
        <w:t xml:space="preserve"> по 18 профилям.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Амбулаторно-поликлиническая </w:t>
      </w:r>
      <w:proofErr w:type="gramStart"/>
      <w:r>
        <w:rPr>
          <w:rFonts w:eastAsia="Calibri"/>
          <w:sz w:val="24"/>
          <w:szCs w:val="24"/>
        </w:rPr>
        <w:t>помощь</w:t>
      </w:r>
      <w:proofErr w:type="gramEnd"/>
      <w:r>
        <w:rPr>
          <w:rFonts w:eastAsia="Calibri"/>
          <w:sz w:val="24"/>
          <w:szCs w:val="24"/>
        </w:rPr>
        <w:t xml:space="preserve"> оказывается по 15 профилям.</w:t>
      </w:r>
      <w:r>
        <w:rPr>
          <w:color w:val="000000"/>
          <w:sz w:val="24"/>
          <w:szCs w:val="24"/>
        </w:rPr>
        <w:t xml:space="preserve"> </w:t>
      </w:r>
    </w:p>
    <w:p w:rsidR="00031763" w:rsidRDefault="00031763" w:rsidP="0003176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поликлиника ГБУЗ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располагается в приспособленном кирпичном здании 1995 года постройки с 2002 года. Плановая мощность составляет 100 посещений в смену. В детской поликлинике работает 7 врачей по 4 специальностям, организована деятельность 6 педиатрических участков, кабинета здорового ребенка. В 2019 году в рамках государственной программы «Развитие здравоохранения Архангельской области»: по подпрограмме «Совершенствование системы территориального планирования Архангельской области» был проведен косметический ремонт холлов,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поликлиники, оборудовано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картохранилище</w:t>
      </w:r>
      <w:proofErr w:type="spellEnd"/>
      <w:r>
        <w:rPr>
          <w:rFonts w:ascii="Times New Roman" w:hAnsi="Times New Roman" w:cs="Times New Roman"/>
          <w:sz w:val="24"/>
          <w:szCs w:val="24"/>
        </w:rPr>
        <w:t>; по подпрограмме «Охрана здоровья матери и ребенка» закуплена и установлена программа «Электронная регистратура», в фойе поликлиники размещено 2 больших монитора с информацией о расписании приема врачей-специалистов. Приобретена необходимая мебель, новые автоматизированные рабочие места для регистраторов. Разработана и установлена система навигации.</w:t>
      </w:r>
    </w:p>
    <w:p w:rsidR="00031763" w:rsidRDefault="00031763" w:rsidP="0003176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Взрослая поликлиника ГБУЗ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располагается в 3-этажном типовом здании, построенном в 1986 году. Плановая мощность составляет 570 посещений в смену. Количество прикрепленного населения составляет 22575 человек -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а также население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близрасположенных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населенных пунктов Вельского района. В поликлинике работают врачи по 21 специальности, организована деятельность 6 терапевтических участков, участка врача общей практики, стоматологического отделения, женской консультации, смотровых кабинетов (мужской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), кабинета неотложной помощи. В ГБУЗ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развёрнуто </w:t>
      </w:r>
      <w:r>
        <w:rPr>
          <w:rFonts w:ascii="Times New Roman" w:eastAsia="Calibri" w:hAnsi="Times New Roman" w:cs="Times New Roman"/>
          <w:sz w:val="24"/>
          <w:szCs w:val="24"/>
        </w:rPr>
        <w:t>176 коек</w:t>
      </w:r>
      <w:r>
        <w:rPr>
          <w:rFonts w:ascii="Times New Roman" w:hAnsi="Times New Roman" w:cs="Times New Roman"/>
          <w:sz w:val="24"/>
          <w:szCs w:val="24"/>
        </w:rPr>
        <w:t xml:space="preserve"> круглосуточного стационара и 18 коек дневного стационара при поликлинике, возле здания которой долгое время отсутствовала парковка, что доставляло массу неудобств пациентам. В рамках федерального проекта «Формирование современной комфортной городской среды» национального проекта «Жилье и городская среда» в 2019 году была благоустроена территория возле поликлиники для оборудования парковки. На эти цели было израсходовано 4 613,9 тыс. руб. (средства областного и местного бюджетов). </w:t>
      </w:r>
    </w:p>
    <w:p w:rsidR="00031763" w:rsidRDefault="00031763" w:rsidP="000317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>в ГБУЗ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центральная больница» открылось первичное сосудистое отделение. Приобретено новое оборудование: компьютерный рентгеновский томограф, аппарат ультразвуковой диагностики, аппараты для искусственной вентиляции легких. Общая стоимость оборудования составила 50 931,6 тыс. руб. Также в 2020 году начал свою работу современный центр гемодиализа. Проект реализован в рамках государственно-частного партнёрства.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Диализный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оснащен 4 аппаратами «искусственная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почка» последнего поколения производства японской компании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Nikkiso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одного из мировых лидеров в индустрии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гемодиализного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оборудования. Максимальная мощность центра рассчитана на оказание помощи 30 пациентам при трёхсменном графике работы. Процедуру гемодиализа проходят 12 человек. Кроме этого, закуплено оборудование и необходимый  инвентарь для лиц с ограниченными возможностями здоровья. </w:t>
      </w:r>
    </w:p>
    <w:p w:rsidR="00031763" w:rsidRDefault="00031763" w:rsidP="00031763">
      <w:pPr>
        <w:pStyle w:val="a9"/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Следует отметить, что в 2018 году ГБУЗ АО «</w:t>
      </w:r>
      <w:proofErr w:type="spellStart"/>
      <w:r>
        <w:rPr>
          <w:sz w:val="24"/>
          <w:szCs w:val="24"/>
        </w:rPr>
        <w:t>Няндомская</w:t>
      </w:r>
      <w:proofErr w:type="spellEnd"/>
      <w:r>
        <w:rPr>
          <w:sz w:val="24"/>
          <w:szCs w:val="24"/>
        </w:rPr>
        <w:t xml:space="preserve"> районная центральная больница» из средств резервного фонда Правительства РФ в рамках государственной программы «Развитие здравоохранения Архангельской области» </w:t>
      </w:r>
      <w:proofErr w:type="gramStart"/>
      <w:r>
        <w:rPr>
          <w:sz w:val="24"/>
          <w:szCs w:val="24"/>
        </w:rPr>
        <w:t>приобретен</w:t>
      </w:r>
      <w:proofErr w:type="gramEnd"/>
      <w:r>
        <w:rPr>
          <w:sz w:val="24"/>
          <w:szCs w:val="24"/>
        </w:rPr>
        <w:t xml:space="preserve"> мобильный ФАП. Состав мобильной бригады – фельдшер и медицинская сестра. </w:t>
      </w:r>
      <w:proofErr w:type="gramStart"/>
      <w:r>
        <w:rPr>
          <w:sz w:val="24"/>
          <w:szCs w:val="24"/>
        </w:rPr>
        <w:t xml:space="preserve">Оснащение мобильного </w:t>
      </w:r>
      <w:proofErr w:type="spellStart"/>
      <w:r>
        <w:rPr>
          <w:sz w:val="24"/>
          <w:szCs w:val="24"/>
        </w:rPr>
        <w:t>ФАПа</w:t>
      </w:r>
      <w:proofErr w:type="spellEnd"/>
      <w:r>
        <w:rPr>
          <w:sz w:val="24"/>
          <w:szCs w:val="24"/>
        </w:rPr>
        <w:t xml:space="preserve"> составляют: весы, ростомер, электрокардиограф, спирограф, тонометр внутриглазного давления, дефибриллятор-монитор, портативный экспресс-анализатор крови (холестерин, </w:t>
      </w:r>
      <w:proofErr w:type="spellStart"/>
      <w:r>
        <w:rPr>
          <w:sz w:val="24"/>
          <w:szCs w:val="24"/>
        </w:rPr>
        <w:t>триглицериды</w:t>
      </w:r>
      <w:proofErr w:type="spellEnd"/>
      <w:r>
        <w:rPr>
          <w:sz w:val="24"/>
          <w:szCs w:val="24"/>
        </w:rPr>
        <w:t xml:space="preserve">, глюкоза крови), модульная настенная диагностическая станция (офтальмоскоп, </w:t>
      </w:r>
      <w:proofErr w:type="spellStart"/>
      <w:r>
        <w:rPr>
          <w:sz w:val="24"/>
          <w:szCs w:val="24"/>
        </w:rPr>
        <w:t>дерматоскоп</w:t>
      </w:r>
      <w:proofErr w:type="spellEnd"/>
      <w:r>
        <w:rPr>
          <w:sz w:val="24"/>
          <w:szCs w:val="24"/>
        </w:rPr>
        <w:t xml:space="preserve">, отоскоп, тонометр, термометр, назальный расширитель, часы), набор диагностический для ЛОР и офтальмологических исследований. </w:t>
      </w:r>
      <w:proofErr w:type="gramEnd"/>
    </w:p>
    <w:p w:rsidR="00031763" w:rsidRDefault="00031763" w:rsidP="000317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2019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 удалось подключиться к единой информационной системе управления приемом и обработкой вызовов для службы скорой медицинской помощи. Реализовано взаимодействие со службой 112, которая принимает вызовы на единый номер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Архангельск и распределяет по районным больницам в автоматизированном режиме.</w:t>
      </w:r>
    </w:p>
    <w:p w:rsidR="00031763" w:rsidRDefault="00031763" w:rsidP="000317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экстренной медпомощи - один из приоритетов национального проекта «Здравоохранение». Где не справляется наземный транспорт, с целью повышения доступности и качества медицинской помощи  используется санитарная авиация - «крылатая» «скорая»,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ведь чем быстрее пациент будет доставлен в больницу, тем меньше вероятность осложнений, которые потребуют впоследствии дорогостоящего лечения и реабилитации. В районе оборудована вертолетная посадочная площадка, соответствующая минимальным требованиям безопасности полетов, на которую осуществляется посадка вертолетов при выполнении санитарных заданий. За 2019 год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выполнено 28 вылетов, эвакуировано 40 человек, в том числе 2 детей. Согласно проведенному анализу в структуре эвакуируемых пациентов на первом месте – ишемическая болезнь сердца (инфаркт миокарда), на втором – переломы с осложнениями.</w:t>
      </w:r>
    </w:p>
    <w:p w:rsidR="00031763" w:rsidRDefault="00031763" w:rsidP="000317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министерства здравоохранения Архангельской области от 12 апреля 2016 года № 179-рд «Об организации проведения дистанционного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телемедицинского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консультирования в медицинских организациях на территории Архангельской области» утвержден порядок проведения дистанционного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телемедицинского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консультирования. Возможность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телемедицинского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консультирования организована во всех центральных районных больницах Архангельской области, в том числе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ЦРБ. В 2019 году было организовано 8 консультаций.</w:t>
      </w:r>
    </w:p>
    <w:p w:rsidR="00031763" w:rsidRDefault="00031763" w:rsidP="000317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сегодняшний день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остро стоит вопрос обеспечения учреждений здравоохранения специалистами.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Укомплектованность врачебных должностей </w:t>
      </w: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eastAsia="Calibri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ила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67,9% (штатным расписанием предусмотрено 109,75 должностей, занято – 74,5) – 16,6% к 2018 году. Работает 57 врачей. Коэффициент совместительства – 1,3. </w:t>
      </w:r>
    </w:p>
    <w:p w:rsidR="00031763" w:rsidRDefault="00031763" w:rsidP="000317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Укомплектованность должностями средних медицинских работников составляет 91,8% (штатным расписанием предусмотрено 337,5 должностей, занято – 309,25). Работает 303 средних медицинских работников. Коэффициент совместительства – 1,02. </w:t>
      </w:r>
    </w:p>
    <w:p w:rsidR="00031763" w:rsidRDefault="00031763" w:rsidP="00031763">
      <w:pPr>
        <w:pStyle w:val="a9"/>
        <w:widowControl w:val="0"/>
        <w:spacing w:line="360" w:lineRule="auto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Вакансии на конец, 2019 года: врачи - 30 должностей, средние медицинские работники – 8 должностей.</w:t>
      </w:r>
      <w:r>
        <w:rPr>
          <w:color w:val="000000"/>
          <w:sz w:val="24"/>
          <w:szCs w:val="24"/>
        </w:rPr>
        <w:t xml:space="preserve"> </w:t>
      </w:r>
    </w:p>
    <w:p w:rsidR="00031763" w:rsidRDefault="00031763" w:rsidP="00031763">
      <w:pPr>
        <w:pStyle w:val="a9"/>
        <w:widowControl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среднего медицинского персонала для медицинских учреждений осуществляется в медицинском отделении ГАУ СПО АО «</w:t>
      </w:r>
      <w:proofErr w:type="spellStart"/>
      <w:r>
        <w:rPr>
          <w:color w:val="000000"/>
          <w:sz w:val="24"/>
          <w:szCs w:val="24"/>
        </w:rPr>
        <w:t>Няндомский</w:t>
      </w:r>
      <w:proofErr w:type="spellEnd"/>
      <w:r>
        <w:rPr>
          <w:color w:val="000000"/>
          <w:sz w:val="24"/>
          <w:szCs w:val="24"/>
        </w:rPr>
        <w:t xml:space="preserve"> железнодорожный колледж». Ежегодно выпуск молодых специалистов со средним профессиональным медицинским образованием составляет порядка 20 человек, из них 15 специалистов пополняют ряды среднего медицинского персонала государственных медицинских учреждений Архангельской области. </w:t>
      </w:r>
    </w:p>
    <w:p w:rsidR="00031763" w:rsidRDefault="00031763" w:rsidP="00031763">
      <w:pPr>
        <w:pStyle w:val="a9"/>
        <w:widowControl w:val="0"/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С целью своевременного выявления факторов риска заболеваний и организации их коррекции, а также ранней диагностики заболеваний, которые в наибольшей степени определяют </w:t>
      </w:r>
      <w:proofErr w:type="spellStart"/>
      <w:r>
        <w:rPr>
          <w:color w:val="000000"/>
          <w:sz w:val="24"/>
          <w:szCs w:val="24"/>
        </w:rPr>
        <w:t>инвалидизацию</w:t>
      </w:r>
      <w:proofErr w:type="spellEnd"/>
      <w:r>
        <w:rPr>
          <w:color w:val="000000"/>
          <w:sz w:val="24"/>
          <w:szCs w:val="24"/>
        </w:rPr>
        <w:t xml:space="preserve"> и смертность населения </w:t>
      </w:r>
      <w:proofErr w:type="spellStart"/>
      <w:r>
        <w:rPr>
          <w:color w:val="000000"/>
          <w:sz w:val="24"/>
          <w:szCs w:val="24"/>
        </w:rPr>
        <w:t>Няндомского</w:t>
      </w:r>
      <w:proofErr w:type="spellEnd"/>
      <w:r>
        <w:rPr>
          <w:color w:val="000000"/>
          <w:sz w:val="24"/>
          <w:szCs w:val="24"/>
        </w:rPr>
        <w:t xml:space="preserve"> района, в 2015 году при </w:t>
      </w:r>
      <w:proofErr w:type="spellStart"/>
      <w:r>
        <w:rPr>
          <w:color w:val="000000"/>
          <w:sz w:val="24"/>
          <w:szCs w:val="24"/>
        </w:rPr>
        <w:t>Няндомской</w:t>
      </w:r>
      <w:proofErr w:type="spellEnd"/>
      <w:r>
        <w:rPr>
          <w:color w:val="000000"/>
          <w:sz w:val="24"/>
          <w:szCs w:val="24"/>
        </w:rPr>
        <w:t xml:space="preserve"> центральной районной больнице был открыт «Центр здоровья» в состав которого вошли кабинет медицинской профилактики, школа здорового образа жизни, школа для пациентов с сахарным диабетом, бронхиальной астмой, артериальной гипертонией</w:t>
      </w:r>
      <w:proofErr w:type="gramEnd"/>
      <w:r>
        <w:rPr>
          <w:color w:val="000000"/>
          <w:sz w:val="24"/>
          <w:szCs w:val="24"/>
        </w:rPr>
        <w:t xml:space="preserve">. В июле 2016 года на базе «Центра здоровья» открыта школа для пациентов, страдающих тромбозом и эмболией артерии, получающих </w:t>
      </w:r>
      <w:proofErr w:type="spellStart"/>
      <w:r>
        <w:rPr>
          <w:color w:val="000000"/>
          <w:sz w:val="24"/>
          <w:szCs w:val="24"/>
        </w:rPr>
        <w:t>варфарин</w:t>
      </w:r>
      <w:proofErr w:type="spellEnd"/>
      <w:r>
        <w:rPr>
          <w:color w:val="000000"/>
          <w:sz w:val="24"/>
          <w:szCs w:val="24"/>
        </w:rPr>
        <w:t xml:space="preserve">.  В апреле 2019 года при Центре здоровья было открыто </w:t>
      </w:r>
      <w:r>
        <w:rPr>
          <w:sz w:val="24"/>
          <w:szCs w:val="24"/>
        </w:rPr>
        <w:t>местное отделение Всероссийского общественного движения «Волонтеры-медики».</w:t>
      </w:r>
      <w:r>
        <w:t xml:space="preserve"> </w:t>
      </w:r>
      <w:r>
        <w:rPr>
          <w:sz w:val="24"/>
          <w:szCs w:val="24"/>
        </w:rPr>
        <w:t xml:space="preserve">Добровольчество в сфере здравоохранения, в том числе и помощь в медицинских организациях – комплексное и сложное явление, объединяющее в себе не только студентов медицинских образовательных учреждений, но и психологов, педагогов, спортсменов, представителей творческих профессий и других неравнодушных людей, готовых посвятить себя работе в сфере здравоохранения. Волонтеры-медики занимаются развитием и популяризацией правил и техники оказания первой помощи, сопровождают спортивные и массовые мероприятия, повышают уровень медицинской грамотности населения, содействуют развитию донорства крови и популяризации здорового образа жизни, ведут </w:t>
      </w:r>
      <w:proofErr w:type="spellStart"/>
      <w:r>
        <w:rPr>
          <w:sz w:val="24"/>
          <w:szCs w:val="24"/>
        </w:rPr>
        <w:t>профориентационную</w:t>
      </w:r>
      <w:proofErr w:type="spellEnd"/>
      <w:r>
        <w:rPr>
          <w:sz w:val="24"/>
          <w:szCs w:val="24"/>
        </w:rPr>
        <w:t xml:space="preserve"> работу среди школьников.</w:t>
      </w:r>
    </w:p>
    <w:p w:rsidR="00031763" w:rsidRDefault="00031763" w:rsidP="00031763">
      <w:pPr>
        <w:pStyle w:val="a9"/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2018 году утверждено положение и состав межведомственной комиссии по охране здоровья граждан на территории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района. Районная межведомственная комиссия по охране здоровья граждан является координационным органом, создана в целях сохранения и </w:t>
      </w:r>
      <w:r>
        <w:rPr>
          <w:sz w:val="24"/>
          <w:szCs w:val="24"/>
        </w:rPr>
        <w:lastRenderedPageBreak/>
        <w:t xml:space="preserve">укрепления здоровья населения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района на основе формирования здорового образа жизни и повышения доступности и качества медицинской помощи.</w:t>
      </w:r>
    </w:p>
    <w:p w:rsidR="00031763" w:rsidRDefault="00031763" w:rsidP="0003176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медицинской помощи, оказываемой гражданам при заболеваниях,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есть необходимость в финансовой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поддержке граждан, попавших в сложную жизненную ситуацию в связи с тяжелыми заболеваниями.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 xml:space="preserve">Учитывая невысокий уровень жизни населения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района, измеряемый низкими доходами и уровнем доступных благ, на уровне муниципального района разработан Порядок предоставления меры социальной поддержки в виде компенсации расходов на оплату стоимости проезда к месту лечения (получение консультации) и обратно гражданам, страдающим онкологическими заболеваниями, проживающим на территории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района, а также лицам, сопровождающим их к месту лечения (получения консультации) и обратно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>. Данная мера социальной поддержки имеет адресный характер и учитывает принцип нуждаемости, что в конечном итоге при ограниченном объеме выделенных на эти цели денежных средств позволит направить помощь тем, кто в ней реально нуждается.</w:t>
      </w:r>
    </w:p>
    <w:p w:rsidR="00031763" w:rsidRDefault="00031763" w:rsidP="0003176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031763" w:rsidRDefault="00031763" w:rsidP="00031763">
      <w:pPr>
        <w:pStyle w:val="a9"/>
        <w:widowControl w:val="0"/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1.5. Выводы, описание основных проблем</w:t>
      </w:r>
    </w:p>
    <w:p w:rsidR="00031763" w:rsidRDefault="00031763" w:rsidP="000317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  Необходимость в благоустройстве территории, прилегающей к ГБУЗ АО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Няндомская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ЦРБ», которая должная быть функциональной и комфортной и использоваться для оздоровительных прогулок пациентов больницы, хозяйственных задач, организации движения транспорта.</w:t>
      </w:r>
    </w:p>
    <w:p w:rsidR="00031763" w:rsidRDefault="00031763" w:rsidP="00031763">
      <w:pPr>
        <w:pStyle w:val="a9"/>
        <w:widowControl w:val="0"/>
        <w:spacing w:line="36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 Большая часть фельдшерско-акушерских пунктов </w:t>
      </w:r>
      <w:proofErr w:type="spellStart"/>
      <w:r>
        <w:rPr>
          <w:sz w:val="24"/>
          <w:szCs w:val="24"/>
          <w:lang w:eastAsia="ar-SA"/>
        </w:rPr>
        <w:t>Няндомского</w:t>
      </w:r>
      <w:proofErr w:type="spellEnd"/>
      <w:r>
        <w:rPr>
          <w:sz w:val="24"/>
          <w:szCs w:val="24"/>
          <w:lang w:eastAsia="ar-SA"/>
        </w:rPr>
        <w:t xml:space="preserve"> района располагается в приспособленных помещениях, в </w:t>
      </w:r>
      <w:proofErr w:type="gramStart"/>
      <w:r>
        <w:rPr>
          <w:sz w:val="24"/>
          <w:szCs w:val="24"/>
          <w:lang w:eastAsia="ar-SA"/>
        </w:rPr>
        <w:t>связи</w:t>
      </w:r>
      <w:proofErr w:type="gramEnd"/>
      <w:r>
        <w:rPr>
          <w:sz w:val="24"/>
          <w:szCs w:val="24"/>
          <w:lang w:eastAsia="ar-SA"/>
        </w:rPr>
        <w:t xml:space="preserve"> с чем требуется строительство новых зданий ФАП, а также проведение мероприятий по благоустройству территорий, прилегающих к ФАП. В целях обеспечения равного доступа к получению качественной медицинской помощи населения </w:t>
      </w:r>
      <w:proofErr w:type="spellStart"/>
      <w:r>
        <w:rPr>
          <w:sz w:val="24"/>
          <w:szCs w:val="24"/>
          <w:lang w:eastAsia="ar-SA"/>
        </w:rPr>
        <w:t>Няндомского</w:t>
      </w:r>
      <w:proofErr w:type="spellEnd"/>
      <w:r>
        <w:rPr>
          <w:sz w:val="24"/>
          <w:szCs w:val="24"/>
          <w:lang w:eastAsia="ar-SA"/>
        </w:rPr>
        <w:t xml:space="preserve"> района в независимости от места проживания имеется потребность в строительстве новых зданий фельдшерско-акушерских пунктов в пос. </w:t>
      </w:r>
      <w:proofErr w:type="spellStart"/>
      <w:r>
        <w:rPr>
          <w:sz w:val="24"/>
          <w:szCs w:val="24"/>
          <w:lang w:eastAsia="ar-SA"/>
        </w:rPr>
        <w:t>Шестиозерский</w:t>
      </w:r>
      <w:proofErr w:type="spellEnd"/>
      <w:r>
        <w:rPr>
          <w:sz w:val="24"/>
          <w:szCs w:val="24"/>
          <w:lang w:eastAsia="ar-SA"/>
        </w:rPr>
        <w:t xml:space="preserve">, ст. </w:t>
      </w:r>
      <w:proofErr w:type="spellStart"/>
      <w:r>
        <w:rPr>
          <w:sz w:val="24"/>
          <w:szCs w:val="24"/>
          <w:lang w:eastAsia="ar-SA"/>
        </w:rPr>
        <w:t>Бурачиха</w:t>
      </w:r>
      <w:proofErr w:type="spellEnd"/>
      <w:r>
        <w:rPr>
          <w:sz w:val="24"/>
          <w:szCs w:val="24"/>
          <w:lang w:eastAsia="ar-SA"/>
        </w:rPr>
        <w:t xml:space="preserve">, дер. Ступинская, дер. Большой Двор и дер. </w:t>
      </w:r>
      <w:proofErr w:type="spellStart"/>
      <w:r>
        <w:rPr>
          <w:sz w:val="24"/>
          <w:szCs w:val="24"/>
          <w:lang w:eastAsia="ar-SA"/>
        </w:rPr>
        <w:t>Гридино</w:t>
      </w:r>
      <w:proofErr w:type="spellEnd"/>
      <w:r>
        <w:rPr>
          <w:sz w:val="24"/>
          <w:szCs w:val="24"/>
          <w:lang w:eastAsia="ar-SA"/>
        </w:rPr>
        <w:t xml:space="preserve">. Кроме этого, в связи с несоответствием требованиям </w:t>
      </w:r>
      <w:proofErr w:type="spellStart"/>
      <w:r>
        <w:rPr>
          <w:sz w:val="24"/>
          <w:szCs w:val="24"/>
          <w:lang w:eastAsia="ar-SA"/>
        </w:rPr>
        <w:t>СанПиН</w:t>
      </w:r>
      <w:proofErr w:type="spellEnd"/>
      <w:r>
        <w:rPr>
          <w:sz w:val="24"/>
          <w:szCs w:val="24"/>
          <w:lang w:eastAsia="ar-SA"/>
        </w:rPr>
        <w:t xml:space="preserve"> к устройству, оборудованию и эксплуатации помещений фельдшерско-акушерских пунктов в пос. </w:t>
      </w:r>
      <w:proofErr w:type="spellStart"/>
      <w:r>
        <w:rPr>
          <w:sz w:val="24"/>
          <w:szCs w:val="24"/>
          <w:lang w:eastAsia="ar-SA"/>
        </w:rPr>
        <w:t>Шожма</w:t>
      </w:r>
      <w:proofErr w:type="spellEnd"/>
      <w:r>
        <w:rPr>
          <w:sz w:val="24"/>
          <w:szCs w:val="24"/>
          <w:lang w:eastAsia="ar-SA"/>
        </w:rPr>
        <w:t xml:space="preserve">, на ст. </w:t>
      </w:r>
      <w:proofErr w:type="spellStart"/>
      <w:r>
        <w:rPr>
          <w:sz w:val="24"/>
          <w:szCs w:val="24"/>
          <w:lang w:eastAsia="ar-SA"/>
        </w:rPr>
        <w:t>Тарза</w:t>
      </w:r>
      <w:proofErr w:type="spellEnd"/>
      <w:r>
        <w:rPr>
          <w:sz w:val="24"/>
          <w:szCs w:val="24"/>
          <w:lang w:eastAsia="ar-SA"/>
        </w:rPr>
        <w:t xml:space="preserve"> и ст. </w:t>
      </w:r>
      <w:proofErr w:type="spellStart"/>
      <w:r>
        <w:rPr>
          <w:sz w:val="24"/>
          <w:szCs w:val="24"/>
          <w:lang w:eastAsia="ar-SA"/>
        </w:rPr>
        <w:t>Лельма</w:t>
      </w:r>
      <w:proofErr w:type="spellEnd"/>
      <w:r>
        <w:rPr>
          <w:sz w:val="24"/>
          <w:szCs w:val="24"/>
          <w:lang w:eastAsia="ar-SA"/>
        </w:rPr>
        <w:t>, существует необходимость в строительстве быстровозводимых модульных медицинских пунктов (ФАП) для оказания первичной медицинской помощи населению.</w:t>
      </w: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Низкий уровень санитарно-гигиенических знаний населения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Няндомского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Недостаточный уровень информационно – просветительской кампании по вопросам профилактики и пропаганде ЗОЖ.</w:t>
      </w: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 Пассивность населения к участию в мероприятиях, пропагандирующих здоровый образ жизни, включая здоровое питание и отказ от вредных привычек.</w:t>
      </w: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Необходимость оказания поддержки малообеспеченным гражданам, страдающим тяжелыми формами заболеваний.</w:t>
      </w:r>
    </w:p>
    <w:p w:rsidR="00031763" w:rsidRDefault="00031763" w:rsidP="00031763">
      <w:pPr>
        <w:pStyle w:val="a9"/>
        <w:widowControl w:val="0"/>
        <w:spacing w:line="36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Здоровье населения сегодня напрямую связано не только с состоянием общественного здравоохранения, но и с самим образом жизни людей. В связи с этим на первое место выходят многоуровневый подход к организации профилактических мероприятий, способствующих изменению образа жизни, разработке и реализации образовательных программ, направленных на сохранение и укрепление здоровья подростков и молодежи, формированию у них активной мотивации к укреплению собственного здоровья и здоровья окружающих. Таким образом, пропаганда и формирование здорового образа жизни включают в себя: создание постоянно действующей информационно-пропагандистской системы, направленной на повышение уровня знаний всех категорий населения о влиянии и возможностях снижения всех негативных факторов на здоровье; привлечение населения к занятиям физической культурой, туризмом и спортом, повышение доступности этих видов оздоровления. Обязательным условием эффективности этой работы являются ее целенаправленность, плановость и непрерывность проведения.</w:t>
      </w: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«Укрепление общественного здоровья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разработана в рамках реализации федерального проекта «Формирование  системы мотивации граждан к здоровому образу жизни, включая здоровое питание и отказ от вредных привычек» национального проекта «Демография».</w:t>
      </w: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носит межведомственный характер и сформирована с учетом методических рекомендаций  Министерства здравоохранения Архангельской области.</w:t>
      </w: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программных мероприятий осуществляет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 по молодежной политике и социальным вопросам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социальной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31763" w:rsidRDefault="00031763" w:rsidP="00031763">
      <w:pPr>
        <w:pStyle w:val="a9"/>
        <w:widowControl w:val="0"/>
        <w:spacing w:line="360" w:lineRule="auto"/>
        <w:rPr>
          <w:sz w:val="24"/>
          <w:szCs w:val="24"/>
          <w:lang w:eastAsia="ar-SA"/>
        </w:rPr>
      </w:pPr>
    </w:p>
    <w:p w:rsidR="00031763" w:rsidRDefault="00031763" w:rsidP="000317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муниципальной программы</w:t>
      </w:r>
    </w:p>
    <w:p w:rsidR="00031763" w:rsidRDefault="00031763" w:rsidP="000317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Цель:</w:t>
      </w:r>
    </w:p>
    <w:p w:rsidR="00031763" w:rsidRDefault="00031763" w:rsidP="000317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формирование системы мотивации граждан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района к ведению здорового образа жизни, включая здоровое питание и отказ от вредных привычек.</w:t>
      </w:r>
    </w:p>
    <w:p w:rsidR="00031763" w:rsidRDefault="00031763" w:rsidP="000317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Задачи:</w:t>
      </w:r>
    </w:p>
    <w:p w:rsidR="00031763" w:rsidRDefault="00031763" w:rsidP="000317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 мотивирование граждан к ведению здорового образа жизни и отказу от вредных привычек посредством проведения информационно-коммуникационной кампании, а также вовлечения граждан в мероприятия по укреплению здоровья;</w:t>
      </w: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поддержка граждан, нуждающихся в оказании специализированной медицинской помощи в связи с заболеваниями, требующими специальных методов диагностики, лечения и использования сложных медицинских технологий.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целевых 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«Укрепление общественного здоровья населения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района» указан в приложении 2 к муниципальной программе.</w:t>
      </w: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расчета целевых показателей и источник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значениях целевых показателей муниципальной программы «Укрепление общественного здоровья жителей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района» изложены в приложении 3 к муниципальной программе.</w:t>
      </w:r>
    </w:p>
    <w:p w:rsidR="00031763" w:rsidRDefault="00031763" w:rsidP="0003176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Сроки и этапы реализации  муниципальной программы</w:t>
      </w:r>
    </w:p>
    <w:p w:rsidR="00031763" w:rsidRDefault="00031763" w:rsidP="0003176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с 2021 года по 2024 год в один этап.</w:t>
      </w:r>
    </w:p>
    <w:p w:rsidR="00031763" w:rsidRDefault="00031763" w:rsidP="00031763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Ресурсное обеспечение реализации муниципальной программы</w:t>
      </w: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программы осуществляется за счет районного бюджета. </w:t>
      </w: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уточняется при формировании бюджетов на очередной финансовый год и плановый год и приведены в приложении 1 к настоящей программе.</w:t>
      </w: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rPr>
          <w:rFonts w:ascii="Times New Roman" w:hAnsi="Times New Roman" w:cs="Times New Roman"/>
          <w:sz w:val="24"/>
          <w:szCs w:val="24"/>
        </w:rPr>
        <w:sectPr w:rsidR="00031763">
          <w:pgSz w:w="11906" w:h="16838"/>
          <w:pgMar w:top="1134" w:right="707" w:bottom="1134" w:left="1134" w:header="708" w:footer="708" w:gutter="0"/>
          <w:cols w:space="720"/>
        </w:sect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97"/>
      </w:tblGrid>
      <w:tr w:rsidR="00031763" w:rsidTr="00031763">
        <w:tc>
          <w:tcPr>
            <w:tcW w:w="9889" w:type="dxa"/>
          </w:tcPr>
          <w:p w:rsidR="00031763" w:rsidRDefault="0003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общественного здоровья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031763" w:rsidRDefault="00031763" w:rsidP="00031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РЕСУРСНОЕ ОБЕСПЕЧЕНИЕ</w:t>
      </w:r>
    </w:p>
    <w:p w:rsidR="00031763" w:rsidRDefault="00031763" w:rsidP="000317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реализации муниципальной программы </w:t>
      </w:r>
    </w:p>
    <w:p w:rsidR="00031763" w:rsidRDefault="00031763" w:rsidP="000317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Укрепление общественного здоровья населения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Няндомского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района»</w:t>
      </w:r>
    </w:p>
    <w:p w:rsidR="00031763" w:rsidRDefault="00031763" w:rsidP="000317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2518"/>
        <w:gridCol w:w="2835"/>
        <w:gridCol w:w="2552"/>
        <w:gridCol w:w="1417"/>
        <w:gridCol w:w="1418"/>
        <w:gridCol w:w="1275"/>
        <w:gridCol w:w="1276"/>
        <w:gridCol w:w="1495"/>
      </w:tblGrid>
      <w:tr w:rsidR="00031763" w:rsidTr="0003176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3" w:rsidRDefault="000317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Оценка расходов, тыс. рублей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31763" w:rsidTr="000317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2024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Итого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</w:p>
        </w:tc>
      </w:tr>
      <w:tr w:rsidR="00031763" w:rsidTr="000317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</w:tr>
      <w:tr w:rsidR="00031763" w:rsidTr="00031763">
        <w:trPr>
          <w:trHeight w:val="29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>
              <w:rPr>
                <w:rFonts w:ascii="Times New Roman" w:hAnsi="Times New Roman"/>
                <w:color w:val="000000"/>
              </w:rPr>
              <w:br/>
              <w:t>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общественного здоровья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</w:tr>
      <w:tr w:rsidR="00031763" w:rsidTr="000317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31763" w:rsidTr="000317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31763" w:rsidTr="000317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</w:tr>
      <w:tr w:rsidR="00031763" w:rsidTr="000317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31763" w:rsidTr="000317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031763" w:rsidRDefault="00031763" w:rsidP="000317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31763" w:rsidRDefault="00031763" w:rsidP="000317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31763" w:rsidRDefault="00031763" w:rsidP="000317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31763" w:rsidRDefault="00031763" w:rsidP="000317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31763" w:rsidRDefault="00031763" w:rsidP="00031763">
      <w:pPr>
        <w:spacing w:after="0"/>
        <w:rPr>
          <w:rFonts w:ascii="Times New Roman" w:hAnsi="Times New Roman" w:cs="Times New Roman"/>
          <w:sz w:val="24"/>
          <w:szCs w:val="24"/>
        </w:rPr>
        <w:sectPr w:rsidR="00031763">
          <w:pgSz w:w="16838" w:h="11906" w:orient="landscape"/>
          <w:pgMar w:top="1134" w:right="1134" w:bottom="707" w:left="1134" w:header="708" w:footer="708" w:gutter="0"/>
          <w:cols w:space="72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678"/>
      </w:tblGrid>
      <w:tr w:rsidR="00031763" w:rsidTr="00031763">
        <w:tc>
          <w:tcPr>
            <w:tcW w:w="9889" w:type="dxa"/>
          </w:tcPr>
          <w:p w:rsidR="00031763" w:rsidRDefault="0003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общественного здоровья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031763" w:rsidRDefault="00031763" w:rsidP="00031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ЦЕЛЕВЫХ ПОКАЗАТЕЛЕЙ</w:t>
      </w:r>
    </w:p>
    <w:p w:rsidR="00031763" w:rsidRDefault="00031763" w:rsidP="000317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«Укрепление общественного здоровья населения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района»</w:t>
      </w:r>
    </w:p>
    <w:p w:rsidR="00031763" w:rsidRDefault="00031763" w:rsidP="000317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исполнитель: отдел по молодежной политике и социальным вопросам Управления социальной политики </w:t>
      </w:r>
    </w:p>
    <w:p w:rsidR="00031763" w:rsidRDefault="00031763" w:rsidP="000317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Архангельской области</w:t>
      </w:r>
    </w:p>
    <w:p w:rsidR="00031763" w:rsidRDefault="00031763" w:rsidP="000317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1763" w:rsidRDefault="00031763" w:rsidP="000317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27" w:type="pct"/>
        <w:jc w:val="center"/>
        <w:tblCellMar>
          <w:left w:w="70" w:type="dxa"/>
          <w:right w:w="70" w:type="dxa"/>
        </w:tblCellMar>
        <w:tblLook w:val="04A0"/>
      </w:tblPr>
      <w:tblGrid>
        <w:gridCol w:w="5042"/>
        <w:gridCol w:w="2127"/>
        <w:gridCol w:w="1412"/>
        <w:gridCol w:w="1846"/>
        <w:gridCol w:w="1295"/>
        <w:gridCol w:w="14"/>
        <w:gridCol w:w="1309"/>
        <w:gridCol w:w="1156"/>
      </w:tblGrid>
      <w:tr w:rsidR="00031763" w:rsidTr="00031763">
        <w:trPr>
          <w:cantSplit/>
          <w:trHeight w:val="240"/>
          <w:jc w:val="center"/>
        </w:trPr>
        <w:tc>
          <w:tcPr>
            <w:tcW w:w="17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24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031763" w:rsidTr="0003176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763" w:rsidRDefault="000317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763" w:rsidRDefault="000317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2020 год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031763" w:rsidTr="00031763">
        <w:trPr>
          <w:cantSplit/>
          <w:trHeight w:val="157"/>
          <w:jc w:val="center"/>
        </w:trPr>
        <w:tc>
          <w:tcPr>
            <w:tcW w:w="177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31763" w:rsidTr="00031763">
        <w:trPr>
          <w:cantSplit/>
          <w:trHeight w:val="347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Задача 1 - мотивирование граждан к ведению здорового образа жизни и отказу от вредных привычек посредством проведения информационно-коммуникационной кампании, а также вовлечения граждан в мероприятия по укреплению здоровья</w:t>
            </w:r>
          </w:p>
        </w:tc>
      </w:tr>
      <w:tr w:rsidR="00031763" w:rsidTr="00031763">
        <w:trPr>
          <w:cantSplit/>
          <w:trHeight w:val="240"/>
          <w:jc w:val="center"/>
        </w:trPr>
        <w:tc>
          <w:tcPr>
            <w:tcW w:w="1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публикаций по вопросам графика работы передвижных медицинских комплексов, проведения профилактических медицинских осмотров, вопросам здорового образа жизни в СМИ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1763" w:rsidTr="00031763">
        <w:trPr>
          <w:cantSplit/>
          <w:trHeight w:val="240"/>
          <w:jc w:val="center"/>
        </w:trPr>
        <w:tc>
          <w:tcPr>
            <w:tcW w:w="1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мероприятий, направленных на пропаганду здорового образа жизни и укрепления здоровья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031763" w:rsidTr="00031763">
        <w:trPr>
          <w:cantSplit/>
          <w:trHeight w:val="240"/>
          <w:jc w:val="center"/>
        </w:trPr>
        <w:tc>
          <w:tcPr>
            <w:tcW w:w="1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Увеличение охвата населения, участвующего в мероприятиях, направленных на пропаганду здорового образа жизни и укрепления здоровья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+2,0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+2,0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+2,0</w:t>
            </w:r>
          </w:p>
        </w:tc>
      </w:tr>
      <w:tr w:rsidR="00031763" w:rsidTr="00031763">
        <w:trPr>
          <w:cantSplit/>
          <w:trHeight w:val="240"/>
          <w:jc w:val="center"/>
        </w:trPr>
        <w:tc>
          <w:tcPr>
            <w:tcW w:w="17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целевого показателя</w:t>
            </w:r>
          </w:p>
        </w:tc>
        <w:tc>
          <w:tcPr>
            <w:tcW w:w="7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24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031763" w:rsidTr="0003176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763" w:rsidRDefault="000317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763" w:rsidRDefault="000317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2020 год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031763" w:rsidTr="00031763">
        <w:trPr>
          <w:cantSplit/>
          <w:trHeight w:val="240"/>
          <w:jc w:val="center"/>
        </w:trPr>
        <w:tc>
          <w:tcPr>
            <w:tcW w:w="1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31763" w:rsidTr="00031763">
        <w:trPr>
          <w:cantSplit/>
          <w:trHeight w:val="240"/>
          <w:jc w:val="center"/>
        </w:trPr>
        <w:tc>
          <w:tcPr>
            <w:tcW w:w="1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населения, прошедшего вакцинацию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</w:tr>
      <w:tr w:rsidR="00031763" w:rsidTr="00031763">
        <w:trPr>
          <w:cantSplit/>
          <w:trHeight w:val="240"/>
          <w:jc w:val="center"/>
        </w:trPr>
        <w:tc>
          <w:tcPr>
            <w:tcW w:w="1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Увеличение количества населения, прошедшего диспансеризацию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</w:tr>
      <w:tr w:rsidR="00031763" w:rsidTr="00031763">
        <w:trPr>
          <w:cantSplit/>
          <w:trHeight w:val="240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763" w:rsidRDefault="000317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Задача 2 - финансовая поддержка граждан, нуждающихся в оказании специализированной медицинской помощи в связи с заболеваниями, требующими специальных методов диагностики, лечения и использования сложных медицинских технологий</w:t>
            </w:r>
          </w:p>
        </w:tc>
      </w:tr>
      <w:tr w:rsidR="00031763" w:rsidTr="00031763">
        <w:trPr>
          <w:cantSplit/>
          <w:trHeight w:val="240"/>
          <w:jc w:val="center"/>
        </w:trPr>
        <w:tc>
          <w:tcPr>
            <w:tcW w:w="1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Количество граждан, которым оказана мера социальной поддержки в виде компенсации стоимости проезда к месту лечения (получения консультации) и обратно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31763" w:rsidRDefault="00031763" w:rsidP="000317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1763" w:rsidRDefault="00031763" w:rsidP="000317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678"/>
      </w:tblGrid>
      <w:tr w:rsidR="00031763" w:rsidTr="00031763">
        <w:tc>
          <w:tcPr>
            <w:tcW w:w="9889" w:type="dxa"/>
          </w:tcPr>
          <w:p w:rsidR="00031763" w:rsidRDefault="0003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общественного здоровья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031763" w:rsidRDefault="00031763" w:rsidP="00031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31763" w:rsidRDefault="00031763" w:rsidP="000317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расчета  целевых показателей муниципальной программы и источники информации о значениях целевых показателей муниципальной программы «Укрепление общественного здоровья населения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031763" w:rsidRDefault="00031763" w:rsidP="000317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995"/>
        <w:gridCol w:w="3687"/>
      </w:tblGrid>
      <w:tr w:rsidR="00031763" w:rsidTr="00031763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 программы, единица измерения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031763" w:rsidTr="00031763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1763" w:rsidTr="00031763">
        <w:trPr>
          <w:jc w:val="center"/>
        </w:trPr>
        <w:tc>
          <w:tcPr>
            <w:tcW w:w="1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Задача 1 - мотивирование граждан к ведению здорового образа жизни и отказу от вредных привычек посредством проведения информационно-коммуникационной кампании, а также вовлечения граждан в мероприятия по укреплению здоровья</w:t>
            </w:r>
          </w:p>
        </w:tc>
      </w:tr>
      <w:tr w:rsidR="00031763" w:rsidTr="00031763">
        <w:trPr>
          <w:trHeight w:val="1647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по вопросам графика работы передвижных медицинских комплексов, проведения профилактических медицинских осмотров, вопросам здорового образа жизни в СМИ, единицы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по вопросам графика работы передвижных медицинских комплексов, проведения профилактических медицинских осмотров, вопросам здорового образа жизни в СМИ в текущем году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отдела по молодежной политике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proofErr w:type="gramEnd"/>
          </w:p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УСП</w:t>
            </w:r>
          </w:p>
        </w:tc>
      </w:tr>
      <w:tr w:rsidR="00031763" w:rsidTr="00031763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мероприятий, направленных на пропаганду здорового образа жизни и укрепления здоровья, единицы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пропаганду здорового образа жизни и укрепления здоровья, в текущем году - количество мероприятий, направленных на пропаганду здорового образа жизни и укрепления здоровья, в предыдущем  году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учреждений, организаций, задействованных в проведении мероприятий</w:t>
            </w:r>
          </w:p>
        </w:tc>
      </w:tr>
      <w:tr w:rsidR="00031763" w:rsidTr="00031763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населения, участвующего в мероприятиях, направленных на пропаганду здорового образа жизни и укрепление здоровья, проценты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участвующих в мероприятиях направленных на пропаганду здорового образа жизни и укрепление здоровья / общая численность района на конец отчетного периода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100 %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учреждений, организаций, задействованных в проведении мероприятий,</w:t>
            </w:r>
          </w:p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Архоблстата</w:t>
            </w:r>
            <w:proofErr w:type="spellEnd"/>
          </w:p>
        </w:tc>
      </w:tr>
      <w:tr w:rsidR="00031763" w:rsidTr="00031763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населения, прошедшего вакцинацию, человек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прошедшего вакцинацию в текущем году - количество населения, прошедшего вакцинацию в предыдущем году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ГБУЗ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031763" w:rsidTr="00031763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населения, прошедшего диспансеризацию, человек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прошедшего диспансеризацию в текущем году - количество населения, прошедшего диспансеризацию в предыдущем году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ГБУЗ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031763" w:rsidTr="00031763">
        <w:trPr>
          <w:jc w:val="center"/>
        </w:trPr>
        <w:tc>
          <w:tcPr>
            <w:tcW w:w="1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lastRenderedPageBreak/>
              <w:t>Задача 2 - поддержка граждан, нуждающихся в оказании специализированной медицинской помощи в связи с заболеваниями, требующими специальных методов диагностики, лечения и использования сложных медицинских технологий</w:t>
            </w:r>
          </w:p>
        </w:tc>
      </w:tr>
      <w:tr w:rsidR="00031763" w:rsidTr="00031763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 в виде компенсации стоимости проезда к месту лечения (получения консультации) и обратно, человек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оказана мера социальной поддержки в виде компенсации стоимости проезда к месту лечения (получения консультации) и обратно в текущем году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отдела по молодежной политике и социальным вопросам УСП</w:t>
            </w:r>
          </w:p>
        </w:tc>
      </w:tr>
    </w:tbl>
    <w:p w:rsidR="00031763" w:rsidRDefault="00031763" w:rsidP="00031763">
      <w:pPr>
        <w:spacing w:after="0"/>
        <w:rPr>
          <w:rFonts w:ascii="Times New Roman" w:hAnsi="Times New Roman" w:cs="Times New Roman"/>
          <w:sz w:val="24"/>
          <w:szCs w:val="24"/>
        </w:rPr>
        <w:sectPr w:rsidR="00031763">
          <w:pgSz w:w="16838" w:h="11906" w:orient="landscape"/>
          <w:pgMar w:top="1134" w:right="1134" w:bottom="707" w:left="1134" w:header="708" w:footer="708" w:gutter="0"/>
          <w:cols w:space="720"/>
        </w:sectPr>
      </w:pPr>
    </w:p>
    <w:p w:rsidR="00031763" w:rsidRDefault="00031763" w:rsidP="00031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Мероприятия муниципальной программы «Укрепление общественного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tbl>
      <w:tblPr>
        <w:tblStyle w:val="a8"/>
        <w:tblW w:w="0" w:type="auto"/>
        <w:tblLayout w:type="fixed"/>
        <w:tblLook w:val="04A0"/>
      </w:tblPr>
      <w:tblGrid>
        <w:gridCol w:w="643"/>
        <w:gridCol w:w="3557"/>
        <w:gridCol w:w="2854"/>
        <w:gridCol w:w="2126"/>
        <w:gridCol w:w="1134"/>
        <w:gridCol w:w="993"/>
        <w:gridCol w:w="1134"/>
        <w:gridCol w:w="1134"/>
        <w:gridCol w:w="128"/>
        <w:gridCol w:w="1083"/>
      </w:tblGrid>
      <w:tr w:rsidR="00031763" w:rsidTr="00031763">
        <w:trPr>
          <w:tblHeader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расходов, тыс. руб.</w:t>
            </w:r>
          </w:p>
        </w:tc>
      </w:tr>
      <w:tr w:rsidR="00031763" w:rsidTr="00031763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031763" w:rsidTr="00031763">
        <w:trPr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31763" w:rsidTr="00031763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Цель: формирование системы мотивации граждан </w:t>
            </w:r>
            <w:proofErr w:type="spellStart"/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к ведению здорового образа жизни, включая здоровое питание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и отказ от вредных привычек</w:t>
            </w:r>
          </w:p>
        </w:tc>
      </w:tr>
      <w:tr w:rsidR="00031763" w:rsidTr="00031763">
        <w:trPr>
          <w:trHeight w:val="527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Задача 1- мотивирование граждан к ведению здорового образа жизни и отказу от вредных привычек посредством проведения информационно-коммуникационной кампании, а также вовлечения граждан в мероприятия по укреплению здоровья</w:t>
            </w: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ежегодного плана информационно-коммуникационной кампании для всей целевой аудитории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 и социальным вопросам УСП,  члены межведомственной комиссии по охране здоровья граждан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информационно-коммуникационной кампании по информированию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здорового образа жизни, факторов риска развития инфекционных,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онкологических заболеваний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социальным вопросам УСП;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«НЦРБ»; волонтеры-медики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о возможности прохождения профилактических медицинских осмотров и диспансеризации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социальным вопросам УСП;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«НЦРБ»;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информационной кампании для населения по вопросам графика работы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социальным вопросам УСП;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передвижных медицинских комплексов, проведения профилактических медицинских осмотров, вопросам здорового образа жизни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«НЦРБ»;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 ГБУЗ АО «НЦРБ»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и размещение в СМИ информационных материалов и социальной рекламы о вреде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табокурения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потребления алкоголя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социальным вопросам УСП;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«НЦРБ»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приуроченных к Международным дням, объявленным Всемирной организацией здравоохранения, с привлечением социально-ориентированных организаций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(Всемирный День борьбы против рака (4 февраля), Всемирный день здоровья (7 апреля), Всемирный день борьбы с артериальной  гипертонией (17 мая), Всемирный день без табака (31 мая) и т.д.)</w:t>
            </w:r>
            <w:proofErr w:type="gram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социальным вопросам УСП;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«НЦРБ»;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 ГБУЗ АО «НЦРБ»;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МРЦ «Старт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физкультурно-массовых мероприятий для различных возрастных групп,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направленных на 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жителей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района в систематические занятия физической культурой и спортом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 Управления социальной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добровольного тестирования учащихся и студентов учебных заведений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здоровья для обучающихся общеобразовательных организаций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 колледж»;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«НЦРБ»;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консультирования населения о факторах риска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по «телефону здоровья»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«НЦРБ»;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волонтеры-медики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и проведение обучения граждан первым признакам и алгоритму оказания первой помощи при инсультах и инфарктах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«НЦРБ»;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разработке и внедрению корпоративных программ по укреплению здоровья работников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социальным вопросам УСП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Федеральной программы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суставов в надежных руках»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программы «Стоматологическое здоровье России»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 помощь» для трудовых коллективов, обучающихся образовательных организаций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Всероссийского проекта «Добро в село» 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фельдшерско-акушерских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«Будь здоров!»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Соль+Йод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IQ сбережет»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волонтеры-медики 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763" w:rsidTr="00031763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  - поддержка граждан, нуждающихся в оказании специализированной медицинской помощи в связи с заболеваниями, требующими специальных методов диагностики, лечения и использования сложных медицинских технологий</w:t>
            </w:r>
          </w:p>
        </w:tc>
      </w:tr>
      <w:tr w:rsidR="00031763" w:rsidTr="0003176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компенсации расходов на оплату стоимости проезда к месту </w:t>
            </w:r>
          </w:p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лечения (получения консультации) и обратно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социальным вопросам УСП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31763" w:rsidTr="00031763">
        <w:tc>
          <w:tcPr>
            <w:tcW w:w="7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</w:tr>
      <w:tr w:rsidR="00031763" w:rsidTr="00031763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3" w:rsidRDefault="00031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3" w:rsidRDefault="0003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</w:tr>
    </w:tbl>
    <w:p w:rsidR="00031763" w:rsidRDefault="00031763" w:rsidP="00031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63" w:rsidRDefault="00031763" w:rsidP="00031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63" w:rsidRDefault="00031763" w:rsidP="00031763">
      <w:pPr>
        <w:spacing w:after="0"/>
        <w:rPr>
          <w:rFonts w:ascii="Times New Roman" w:hAnsi="Times New Roman" w:cs="Times New Roman"/>
          <w:sz w:val="24"/>
          <w:szCs w:val="24"/>
        </w:rPr>
        <w:sectPr w:rsidR="00031763">
          <w:pgSz w:w="16838" w:h="11906" w:orient="landscape"/>
          <w:pgMar w:top="1134" w:right="1134" w:bottom="707" w:left="1134" w:header="708" w:footer="708" w:gutter="0"/>
          <w:cols w:space="720"/>
        </w:sectPr>
      </w:pPr>
    </w:p>
    <w:p w:rsidR="00031763" w:rsidRDefault="00031763" w:rsidP="00031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Ожидаемые результаты реализации муниципальной программы</w:t>
      </w:r>
    </w:p>
    <w:p w:rsidR="00031763" w:rsidRDefault="00031763" w:rsidP="00031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предполагает достижение следующих результатов:</w:t>
      </w: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Повышение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уровня санитарно-гигиенических знаний населения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Няндомского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Увеличение охвата населения, участвующего в мероприятиях, направленных на пропаганду здорового образа жизни и укрепление здоровья до 45 %.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Увеличение мероприятий, направленных на пропаганду здорового образа жизни, включая здоровое питание и отказ от вредных привычек, до 15 единиц в год.</w:t>
      </w: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Увеличение количества публикаций в СМИ </w:t>
      </w:r>
      <w:r>
        <w:rPr>
          <w:rFonts w:ascii="Times New Roman" w:hAnsi="Times New Roman" w:cs="Times New Roman"/>
          <w:sz w:val="24"/>
          <w:szCs w:val="24"/>
        </w:rPr>
        <w:t>по вопросам графика работы передвижных медицинских комплексов, проведения профилактических медицинских осмотров, вопросам здорового образа жизни до 15 в год.</w:t>
      </w: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Увеличение </w:t>
      </w:r>
      <w:r>
        <w:rPr>
          <w:rFonts w:ascii="Times New Roman" w:hAnsi="Times New Roman" w:cs="Times New Roman"/>
          <w:sz w:val="24"/>
          <w:szCs w:val="24"/>
        </w:rPr>
        <w:t xml:space="preserve">охвата взрослого и детского населения,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вакцинацию на 2,4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‰</w:t>
      </w:r>
      <w:r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сравнению с 2020 годом.</w:t>
      </w: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Увеличение охвата диспансеризацией взрослого и детского населения на 4,9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сравнению с 2020 годом.</w:t>
      </w:r>
    </w:p>
    <w:p w:rsidR="00031763" w:rsidRDefault="00031763" w:rsidP="000317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 Оказана финансовая поддержка до 30 малообеспеченным гражданам, страдающим тяжелыми формами заболеваний.</w:t>
      </w:r>
    </w:p>
    <w:p w:rsidR="00031763" w:rsidRDefault="00031763" w:rsidP="00031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8D4" w:rsidRPr="00031763" w:rsidRDefault="007148D4" w:rsidP="00031763">
      <w:pPr>
        <w:rPr>
          <w:szCs w:val="24"/>
        </w:rPr>
      </w:pPr>
    </w:p>
    <w:sectPr w:rsidR="007148D4" w:rsidRPr="00031763" w:rsidSect="00CB6BD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624E"/>
    <w:multiLevelType w:val="multilevel"/>
    <w:tmpl w:val="0EE6FC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3CB561C"/>
    <w:multiLevelType w:val="hybridMultilevel"/>
    <w:tmpl w:val="088E6E7A"/>
    <w:lvl w:ilvl="0" w:tplc="0419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C3AA4"/>
    <w:multiLevelType w:val="hybridMultilevel"/>
    <w:tmpl w:val="B73E5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8A8"/>
    <w:rsid w:val="000045F4"/>
    <w:rsid w:val="00016384"/>
    <w:rsid w:val="00031763"/>
    <w:rsid w:val="00055119"/>
    <w:rsid w:val="00065BAF"/>
    <w:rsid w:val="00076CB6"/>
    <w:rsid w:val="00094E1F"/>
    <w:rsid w:val="00095D59"/>
    <w:rsid w:val="000A406B"/>
    <w:rsid w:val="000B47D3"/>
    <w:rsid w:val="000C33A5"/>
    <w:rsid w:val="000D73FD"/>
    <w:rsid w:val="000D7F8A"/>
    <w:rsid w:val="000E13A0"/>
    <w:rsid w:val="000E5FD8"/>
    <w:rsid w:val="000F4F87"/>
    <w:rsid w:val="0010149D"/>
    <w:rsid w:val="001256D0"/>
    <w:rsid w:val="0013554F"/>
    <w:rsid w:val="0013678B"/>
    <w:rsid w:val="00180590"/>
    <w:rsid w:val="00184334"/>
    <w:rsid w:val="00197516"/>
    <w:rsid w:val="001A0D1F"/>
    <w:rsid w:val="001B5580"/>
    <w:rsid w:val="001C2C3D"/>
    <w:rsid w:val="001C2DDF"/>
    <w:rsid w:val="001D2404"/>
    <w:rsid w:val="001E2330"/>
    <w:rsid w:val="001E589A"/>
    <w:rsid w:val="001E657C"/>
    <w:rsid w:val="00223AB8"/>
    <w:rsid w:val="0023530E"/>
    <w:rsid w:val="0023544C"/>
    <w:rsid w:val="002451B5"/>
    <w:rsid w:val="00265BAD"/>
    <w:rsid w:val="00271235"/>
    <w:rsid w:val="00272BA4"/>
    <w:rsid w:val="002771EC"/>
    <w:rsid w:val="0028195F"/>
    <w:rsid w:val="00282025"/>
    <w:rsid w:val="002B2A0C"/>
    <w:rsid w:val="002B4CCB"/>
    <w:rsid w:val="002E0599"/>
    <w:rsid w:val="002E5C4C"/>
    <w:rsid w:val="002E743E"/>
    <w:rsid w:val="00312144"/>
    <w:rsid w:val="00314B13"/>
    <w:rsid w:val="00314C4D"/>
    <w:rsid w:val="00345682"/>
    <w:rsid w:val="00346A0F"/>
    <w:rsid w:val="00354E9E"/>
    <w:rsid w:val="00357DE9"/>
    <w:rsid w:val="003671A2"/>
    <w:rsid w:val="00377C27"/>
    <w:rsid w:val="00396703"/>
    <w:rsid w:val="003A5C16"/>
    <w:rsid w:val="003B2F8A"/>
    <w:rsid w:val="003B5D5F"/>
    <w:rsid w:val="003C35B5"/>
    <w:rsid w:val="003C53CC"/>
    <w:rsid w:val="003D50A4"/>
    <w:rsid w:val="003F3471"/>
    <w:rsid w:val="003F6231"/>
    <w:rsid w:val="004143E3"/>
    <w:rsid w:val="00433427"/>
    <w:rsid w:val="004521B0"/>
    <w:rsid w:val="004628A8"/>
    <w:rsid w:val="00472251"/>
    <w:rsid w:val="00483823"/>
    <w:rsid w:val="004874AF"/>
    <w:rsid w:val="00493220"/>
    <w:rsid w:val="004A05BA"/>
    <w:rsid w:val="004A2A1E"/>
    <w:rsid w:val="004A3213"/>
    <w:rsid w:val="004B2D77"/>
    <w:rsid w:val="004C7C2A"/>
    <w:rsid w:val="004E488C"/>
    <w:rsid w:val="00503A54"/>
    <w:rsid w:val="00511BE4"/>
    <w:rsid w:val="005279CD"/>
    <w:rsid w:val="00532099"/>
    <w:rsid w:val="00534FA7"/>
    <w:rsid w:val="00537064"/>
    <w:rsid w:val="00540B0E"/>
    <w:rsid w:val="00544A81"/>
    <w:rsid w:val="0055376E"/>
    <w:rsid w:val="0059199A"/>
    <w:rsid w:val="005B5D70"/>
    <w:rsid w:val="005E7585"/>
    <w:rsid w:val="005E7FC2"/>
    <w:rsid w:val="005F1491"/>
    <w:rsid w:val="006139F4"/>
    <w:rsid w:val="00625115"/>
    <w:rsid w:val="00630E66"/>
    <w:rsid w:val="006504D9"/>
    <w:rsid w:val="006608BB"/>
    <w:rsid w:val="00672068"/>
    <w:rsid w:val="00684732"/>
    <w:rsid w:val="006B06E8"/>
    <w:rsid w:val="006B403E"/>
    <w:rsid w:val="006B6466"/>
    <w:rsid w:val="006D201A"/>
    <w:rsid w:val="006E65FE"/>
    <w:rsid w:val="007148D4"/>
    <w:rsid w:val="00715181"/>
    <w:rsid w:val="0072011D"/>
    <w:rsid w:val="00720BA1"/>
    <w:rsid w:val="00730374"/>
    <w:rsid w:val="00736979"/>
    <w:rsid w:val="0073761A"/>
    <w:rsid w:val="00764AF1"/>
    <w:rsid w:val="00764C26"/>
    <w:rsid w:val="007A7612"/>
    <w:rsid w:val="007B513F"/>
    <w:rsid w:val="007C281F"/>
    <w:rsid w:val="007C707F"/>
    <w:rsid w:val="007D0651"/>
    <w:rsid w:val="007D21CE"/>
    <w:rsid w:val="007E7A70"/>
    <w:rsid w:val="00807FA9"/>
    <w:rsid w:val="00813B93"/>
    <w:rsid w:val="00824893"/>
    <w:rsid w:val="00833AEA"/>
    <w:rsid w:val="008359C2"/>
    <w:rsid w:val="0084102D"/>
    <w:rsid w:val="00856CA0"/>
    <w:rsid w:val="00863716"/>
    <w:rsid w:val="008660EB"/>
    <w:rsid w:val="00874C17"/>
    <w:rsid w:val="0088290B"/>
    <w:rsid w:val="00885486"/>
    <w:rsid w:val="008A2418"/>
    <w:rsid w:val="008B3577"/>
    <w:rsid w:val="008C001E"/>
    <w:rsid w:val="008C2C40"/>
    <w:rsid w:val="00900032"/>
    <w:rsid w:val="00902744"/>
    <w:rsid w:val="00913CE8"/>
    <w:rsid w:val="009145A4"/>
    <w:rsid w:val="00914B65"/>
    <w:rsid w:val="00916DBD"/>
    <w:rsid w:val="0092357A"/>
    <w:rsid w:val="009441BF"/>
    <w:rsid w:val="009456A3"/>
    <w:rsid w:val="00953120"/>
    <w:rsid w:val="00964681"/>
    <w:rsid w:val="00974200"/>
    <w:rsid w:val="00983FB6"/>
    <w:rsid w:val="00991DE4"/>
    <w:rsid w:val="009A1AD9"/>
    <w:rsid w:val="009A6425"/>
    <w:rsid w:val="009A6F59"/>
    <w:rsid w:val="009B2BF2"/>
    <w:rsid w:val="009C7F09"/>
    <w:rsid w:val="009F0AE1"/>
    <w:rsid w:val="00A078AC"/>
    <w:rsid w:val="00A103D4"/>
    <w:rsid w:val="00A12085"/>
    <w:rsid w:val="00A20229"/>
    <w:rsid w:val="00A27B10"/>
    <w:rsid w:val="00A316F4"/>
    <w:rsid w:val="00A46492"/>
    <w:rsid w:val="00A479D8"/>
    <w:rsid w:val="00A61A23"/>
    <w:rsid w:val="00A63960"/>
    <w:rsid w:val="00A73105"/>
    <w:rsid w:val="00A80CFB"/>
    <w:rsid w:val="00AA1618"/>
    <w:rsid w:val="00AA6FDB"/>
    <w:rsid w:val="00AE334E"/>
    <w:rsid w:val="00AF106A"/>
    <w:rsid w:val="00B07E89"/>
    <w:rsid w:val="00B2414A"/>
    <w:rsid w:val="00B35C3C"/>
    <w:rsid w:val="00B474EF"/>
    <w:rsid w:val="00B55EA6"/>
    <w:rsid w:val="00B676A5"/>
    <w:rsid w:val="00B75F1A"/>
    <w:rsid w:val="00BA18FB"/>
    <w:rsid w:val="00BB515E"/>
    <w:rsid w:val="00BB694B"/>
    <w:rsid w:val="00BC25FF"/>
    <w:rsid w:val="00BE4B27"/>
    <w:rsid w:val="00BF4146"/>
    <w:rsid w:val="00C12105"/>
    <w:rsid w:val="00C15A6C"/>
    <w:rsid w:val="00C262B1"/>
    <w:rsid w:val="00C27F70"/>
    <w:rsid w:val="00C30E91"/>
    <w:rsid w:val="00C40054"/>
    <w:rsid w:val="00C459CF"/>
    <w:rsid w:val="00C54797"/>
    <w:rsid w:val="00C644B5"/>
    <w:rsid w:val="00C720FB"/>
    <w:rsid w:val="00C90D9B"/>
    <w:rsid w:val="00CA5960"/>
    <w:rsid w:val="00CB0CB1"/>
    <w:rsid w:val="00CB3735"/>
    <w:rsid w:val="00CB6BDD"/>
    <w:rsid w:val="00CC6C40"/>
    <w:rsid w:val="00CE284A"/>
    <w:rsid w:val="00CE39B1"/>
    <w:rsid w:val="00CF1EBB"/>
    <w:rsid w:val="00D07047"/>
    <w:rsid w:val="00D1114A"/>
    <w:rsid w:val="00D31591"/>
    <w:rsid w:val="00D5702E"/>
    <w:rsid w:val="00D76958"/>
    <w:rsid w:val="00D82E60"/>
    <w:rsid w:val="00D9321F"/>
    <w:rsid w:val="00DB1D5D"/>
    <w:rsid w:val="00DE2DA4"/>
    <w:rsid w:val="00DE3E0A"/>
    <w:rsid w:val="00DF0857"/>
    <w:rsid w:val="00DF2A3F"/>
    <w:rsid w:val="00E132D1"/>
    <w:rsid w:val="00E306A8"/>
    <w:rsid w:val="00E30AD6"/>
    <w:rsid w:val="00E30E9F"/>
    <w:rsid w:val="00E34652"/>
    <w:rsid w:val="00E659CC"/>
    <w:rsid w:val="00E703AF"/>
    <w:rsid w:val="00E804DC"/>
    <w:rsid w:val="00E87DCF"/>
    <w:rsid w:val="00E90175"/>
    <w:rsid w:val="00E9674A"/>
    <w:rsid w:val="00EA6BF5"/>
    <w:rsid w:val="00EB26B1"/>
    <w:rsid w:val="00ED350D"/>
    <w:rsid w:val="00EE2630"/>
    <w:rsid w:val="00EF1837"/>
    <w:rsid w:val="00F02E98"/>
    <w:rsid w:val="00F02F0B"/>
    <w:rsid w:val="00F24388"/>
    <w:rsid w:val="00F37368"/>
    <w:rsid w:val="00F40DB2"/>
    <w:rsid w:val="00F4278E"/>
    <w:rsid w:val="00F4313D"/>
    <w:rsid w:val="00F516AA"/>
    <w:rsid w:val="00F70547"/>
    <w:rsid w:val="00F70D40"/>
    <w:rsid w:val="00F769FC"/>
    <w:rsid w:val="00F8562F"/>
    <w:rsid w:val="00FA3AA2"/>
    <w:rsid w:val="00FA7713"/>
    <w:rsid w:val="00FC420C"/>
    <w:rsid w:val="00FF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link w:val="a6"/>
    <w:rsid w:val="004628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ормальный (таблица) Знак"/>
    <w:link w:val="a5"/>
    <w:rsid w:val="004628A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2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E5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2E5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8">
    <w:name w:val="Table Grid"/>
    <w:basedOn w:val="a1"/>
    <w:rsid w:val="00E6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ААА"/>
    <w:basedOn w:val="a"/>
    <w:rsid w:val="00095D5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540B0E"/>
    <w:pPr>
      <w:ind w:left="720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377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364C7-E543-4A2B-A3EE-E46AB74A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20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SOCPOL12</dc:creator>
  <cp:lastModifiedBy>dubova</cp:lastModifiedBy>
  <cp:revision>67</cp:revision>
  <cp:lastPrinted>2020-11-06T09:36:00Z</cp:lastPrinted>
  <dcterms:created xsi:type="dcterms:W3CDTF">2020-08-14T13:45:00Z</dcterms:created>
  <dcterms:modified xsi:type="dcterms:W3CDTF">2023-02-10T11:11:00Z</dcterms:modified>
</cp:coreProperties>
</file>