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1"/>
        <w:jc w:val="center"/>
        <w:keepNext w:val="0"/>
        <w:spacing w:before="0" w:after="0"/>
        <w:widowControl w:val="off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</w:t>
      </w:r>
      <w:r>
        <w:rPr>
          <w:rFonts w:ascii="Times New Roman" w:hAnsi="Times New Roman"/>
          <w:bCs/>
          <w:szCs w:val="28"/>
        </w:rPr>
        <w:t xml:space="preserve">б утверждении </w:t>
      </w:r>
      <w:r>
        <w:rPr>
          <w:rFonts w:ascii="Times New Roman" w:hAnsi="Times New Roman"/>
          <w:bCs/>
          <w:szCs w:val="28"/>
        </w:rPr>
        <w:t xml:space="preserve">Плана</w:t>
      </w:r>
      <w:r>
        <w:rPr>
          <w:rFonts w:ascii="Times New Roman" w:hAnsi="Times New Roman"/>
          <w:b w:val="0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противодействия коррупции </w:t>
      </w:r>
      <w:r>
        <w:rPr>
          <w:rFonts w:ascii="Times New Roman" w:hAnsi="Times New Roman"/>
          <w:bCs/>
          <w:szCs w:val="28"/>
        </w:rPr>
      </w:r>
      <w:r/>
    </w:p>
    <w:p>
      <w:pPr>
        <w:pStyle w:val="781"/>
        <w:jc w:val="center"/>
        <w:keepNext w:val="0"/>
        <w:spacing w:before="0" w:after="0"/>
        <w:widowControl w:val="off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в </w:t>
      </w:r>
      <w:r>
        <w:rPr>
          <w:rFonts w:ascii="Times New Roman" w:hAnsi="Times New Roman"/>
          <w:bCs/>
          <w:szCs w:val="28"/>
        </w:rPr>
        <w:t xml:space="preserve">Няндомском муниципальном районе Архангельской области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</w:r>
      <w:r/>
    </w:p>
    <w:p>
      <w:pPr>
        <w:pStyle w:val="781"/>
        <w:jc w:val="center"/>
        <w:keepNext w:val="0"/>
        <w:spacing w:before="0" w:after="0"/>
        <w:widowControl w:val="off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на 20</w:t>
      </w:r>
      <w:r>
        <w:rPr>
          <w:rFonts w:ascii="Times New Roman" w:hAnsi="Times New Roman"/>
          <w:bCs/>
          <w:szCs w:val="28"/>
        </w:rPr>
        <w:t xml:space="preserve">21</w:t>
      </w:r>
      <w:r>
        <w:rPr>
          <w:rFonts w:ascii="Times New Roman" w:hAnsi="Times New Roman"/>
          <w:bCs/>
          <w:szCs w:val="28"/>
        </w:rPr>
        <w:t xml:space="preserve"> – 20</w:t>
      </w:r>
      <w:r>
        <w:rPr>
          <w:rFonts w:ascii="Times New Roman" w:hAnsi="Times New Roman"/>
          <w:bCs/>
          <w:szCs w:val="28"/>
        </w:rPr>
        <w:t xml:space="preserve">2</w:t>
      </w:r>
      <w:r>
        <w:rPr>
          <w:rFonts w:ascii="Times New Roman" w:hAnsi="Times New Roman"/>
          <w:bCs/>
          <w:szCs w:val="28"/>
        </w:rPr>
        <w:t xml:space="preserve">4</w:t>
      </w:r>
      <w:r>
        <w:rPr>
          <w:rFonts w:ascii="Times New Roman" w:hAnsi="Times New Roman"/>
          <w:bCs/>
          <w:szCs w:val="28"/>
        </w:rPr>
        <w:t xml:space="preserve"> годы</w:t>
      </w:r>
      <w:r/>
    </w:p>
    <w:p>
      <w:pPr>
        <w:pStyle w:val="780"/>
        <w:ind w:firstLine="709"/>
        <w:jc w:val="center"/>
        <w:spacing w:line="240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780"/>
        <w:ind w:firstLine="709"/>
        <w:spacing w:line="240" w:lineRule="auto"/>
        <w:shd w:val="clear" w:color="auto" w:fill="ffffff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целях создания действенной системы руководст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 деятельности по противодействию коррупции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Няндомск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 Арха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ельс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руководствуясь Указом Президента Российской Федерации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 августа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«О Национальном плане противодействия коррупции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2021-20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годы», указом Губернатора Архангельской области 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 сентябр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утвержде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плана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ротиводействия коррупции в Ар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хангельской области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2021-2024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ктом 8 статьи 5,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пунктом 1.1. статьи 6,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статьями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32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36.1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Устава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Няндомского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администрация Няндомского муниципально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района Арх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ангельской обл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асти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 т а н о в л я е т: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780"/>
        <w:ind w:firstLine="709"/>
        <w:spacing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/>
      <w:bookmarkStart w:id="0" w:name="sub_5115"/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Утвердить прилагаемый План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противодействия коррупции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Няндомском муниципальном районе Архангельской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780"/>
        <w:ind w:firstLine="709"/>
        <w:spacing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Ответственным лица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обеспечить достижение конкретных результатов и контроль 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выполнение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мероприятий,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предусмотренных Планом.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780"/>
        <w:ind w:firstLine="709"/>
        <w:spacing w:line="240" w:lineRule="auto"/>
        <w:tabs>
          <w:tab w:val="left" w:pos="1134" w:leader="none"/>
        </w:tabs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бликовать настоящее постановление в пери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еском печатном издании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Няндомского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разместить на официальном сайте адм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инистрации Няндомского района.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780"/>
        <w:ind w:firstLine="709"/>
        <w:spacing w:line="240" w:lineRule="auto"/>
        <w:rPr>
          <w:rFonts w:ascii="Times New Roman" w:hAnsi="Times New Roman" w:eastAsia="Times New Roman"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Настоящее постановление вступает в силу со дн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 его официального опу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бликов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37"/>
        <w:gridCol w:w="3933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/>
            <w:bookmarkEnd w:id="0"/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637" w:type="dxa"/>
            <w:vAlign w:val="top"/>
            <w:textDirection w:val="lrTb"/>
            <w:noWrap w:val="false"/>
          </w:tcPr>
          <w:p>
            <w:pPr>
              <w:pStyle w:val="789"/>
              <w:jc w:val="both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Глава Няндомского района</w:t>
              <w:tab/>
            </w:r>
            <w:r>
              <w:rPr>
                <w:sz w:val="28"/>
                <w:szCs w:val="28"/>
                <w:lang w:val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933" w:type="dxa"/>
            <w:vAlign w:val="top"/>
            <w:textDirection w:val="lrTb"/>
            <w:noWrap w:val="false"/>
          </w:tcPr>
          <w:p>
            <w:pPr>
              <w:pStyle w:val="789"/>
              <w:ind w:firstLine="709"/>
              <w:jc w:val="right"/>
              <w:spacing w:before="0" w:beforeAutospacing="0" w:after="0" w:afterAutospacing="0"/>
              <w:widowControl w:val="off"/>
              <w:rPr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А.В. Кононов</w:t>
            </w:r>
            <w:r>
              <w:rPr>
                <w:sz w:val="28"/>
                <w:szCs w:val="28"/>
                <w:lang w:val="ru-RU"/>
              </w:rPr>
            </w:r>
            <w:r/>
          </w:p>
        </w:tc>
      </w:tr>
    </w:tbl>
    <w:p>
      <w:pPr>
        <w:pStyle w:val="780"/>
        <w:rPr>
          <w:rFonts w:ascii="Times New Roman" w:hAnsi="Times New Roman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426" w:right="851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  <w:sectPr>
          <w:footnotePr/>
          <w:endnotePr/>
          <w:type w:val="continuous"/>
          <w:pgSz w:w="11906" w:h="16838" w:orient="portrait"/>
          <w:pgMar w:top="426" w:right="851" w:bottom="1134" w:left="1701" w:header="42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8"/>
          <w:szCs w:val="28"/>
        </w:rPr>
      </w:r>
      <w:r/>
      <w:r/>
    </w:p>
    <w:tbl>
      <w:tblPr>
        <w:tblW w:w="14956" w:type="dxa"/>
        <w:tblInd w:w="-106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9570"/>
        <w:gridCol w:w="5386"/>
      </w:tblGrid>
      <w:tr>
        <w:trPr/>
        <w:tc>
          <w:tcPr>
            <w:tcBorders>
              <w:right w:val="none" w:color="000000" w:sz="4" w:space="0"/>
            </w:tcBorders>
            <w:tcW w:w="9570" w:type="dxa"/>
            <w:vAlign w:val="top"/>
            <w:textDirection w:val="lrTb"/>
            <w:noWrap w:val="false"/>
          </w:tcPr>
          <w:p>
            <w:pPr>
              <w:pStyle w:val="780"/>
              <w:spacing w:after="0" w:line="240" w:lineRule="auto"/>
              <w:widowControl w:val="off"/>
              <w:tabs>
                <w:tab w:val="left" w:pos="517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386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Няндомского муниципального района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хангельской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80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81"/>
        <w:jc w:val="center"/>
        <w:keepNext w:val="0"/>
        <w:spacing w:before="0" w:after="0"/>
        <w:widowControl w:val="off"/>
      </w:pPr>
      <w:r>
        <w:rPr>
          <w:rFonts w:ascii="Times New Roman" w:hAnsi="Times New Roman"/>
          <w:bCs/>
          <w:szCs w:val="28"/>
        </w:rPr>
      </w:r>
      <w:r>
        <w:rPr>
          <w:rFonts w:ascii="Times New Roman" w:hAnsi="Times New Roman"/>
          <w:bCs/>
          <w:szCs w:val="28"/>
        </w:rPr>
      </w:r>
      <w:r/>
    </w:p>
    <w:p>
      <w:pPr>
        <w:pStyle w:val="781"/>
        <w:jc w:val="center"/>
        <w:keepNext w:val="0"/>
        <w:spacing w:before="0" w:after="0"/>
        <w:widowControl w:val="off"/>
      </w:pPr>
      <w:r>
        <w:rPr>
          <w:rFonts w:ascii="Times New Roman" w:hAnsi="Times New Roman"/>
          <w:bCs/>
          <w:szCs w:val="28"/>
        </w:rPr>
        <w:t xml:space="preserve">П Л А Н </w:t>
        <w:br/>
      </w:r>
      <w:r>
        <w:rPr>
          <w:rFonts w:ascii="Times New Roman" w:hAnsi="Times New Roman"/>
          <w:bCs/>
          <w:szCs w:val="28"/>
        </w:rPr>
        <w:t xml:space="preserve">противодействия коррупции в </w:t>
      </w:r>
      <w:r>
        <w:rPr>
          <w:rFonts w:ascii="Times New Roman" w:hAnsi="Times New Roman"/>
          <w:bCs/>
          <w:szCs w:val="28"/>
        </w:rPr>
        <w:t xml:space="preserve">Няндомском муниципальном районе Архангельской области</w:t>
      </w:r>
      <w:r>
        <w:rPr>
          <w:rFonts w:ascii="Times New Roman" w:hAnsi="Times New Roman"/>
          <w:bCs/>
          <w:szCs w:val="28"/>
        </w:rPr>
        <w:t xml:space="preserve"> на 20</w:t>
      </w:r>
      <w:r>
        <w:rPr>
          <w:rFonts w:ascii="Times New Roman" w:hAnsi="Times New Roman"/>
          <w:bCs/>
          <w:szCs w:val="28"/>
        </w:rPr>
        <w:t xml:space="preserve">21</w:t>
      </w:r>
      <w:r>
        <w:rPr>
          <w:rFonts w:ascii="Times New Roman" w:hAnsi="Times New Roman"/>
          <w:bCs/>
          <w:szCs w:val="28"/>
        </w:rPr>
        <w:t xml:space="preserve"> – 20</w:t>
      </w:r>
      <w:r>
        <w:rPr>
          <w:rFonts w:ascii="Times New Roman" w:hAnsi="Times New Roman"/>
          <w:bCs/>
          <w:szCs w:val="28"/>
        </w:rPr>
        <w:t xml:space="preserve">2</w:t>
      </w:r>
      <w:r>
        <w:rPr>
          <w:rFonts w:ascii="Times New Roman" w:hAnsi="Times New Roman"/>
          <w:bCs/>
          <w:szCs w:val="28"/>
        </w:rPr>
        <w:t xml:space="preserve">4</w:t>
      </w:r>
      <w:r>
        <w:rPr>
          <w:rFonts w:ascii="Times New Roman" w:hAnsi="Times New Roman"/>
          <w:bCs/>
          <w:szCs w:val="28"/>
        </w:rPr>
        <w:t xml:space="preserve"> годы</w:t>
      </w:r>
      <w:r>
        <w:rPr>
          <w:rFonts w:ascii="Times New Roman" w:hAnsi="Times New Roman"/>
          <w:bCs/>
          <w:szCs w:val="28"/>
        </w:rPr>
      </w:r>
      <w:r/>
    </w:p>
    <w:p>
      <w:pPr>
        <w:pStyle w:val="780"/>
        <w:jc w:val="center"/>
        <w:spacing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9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9810"/>
        <w:gridCol w:w="2097"/>
        <w:gridCol w:w="2410"/>
      </w:tblGrid>
      <w:tr>
        <w:trPr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center"/>
            <w:textDirection w:val="lrTb"/>
            <w:noWrap w:val="false"/>
          </w:tcPr>
          <w:p>
            <w:pPr>
              <w:pStyle w:val="780"/>
              <w:jc w:val="center"/>
              <w:spacing w:before="100" w:beforeAutospacing="1" w:after="100" w:afterAutospacing="1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рияти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center"/>
            <w:textDirection w:val="lrTb"/>
            <w:noWrap w:val="false"/>
          </w:tcPr>
          <w:p>
            <w:pPr>
              <w:pStyle w:val="780"/>
              <w:jc w:val="center"/>
              <w:spacing w:before="100" w:beforeAutospacing="1" w:after="100" w:afterAutospacing="1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исполнит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pStyle w:val="780"/>
              <w:jc w:val="center"/>
              <w:spacing w:before="100" w:beforeAutospacing="1" w:after="100" w:afterAutospacing="1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center"/>
            <w:textDirection w:val="lrTb"/>
            <w:noWrap w:val="false"/>
          </w:tcPr>
          <w:p>
            <w:pPr>
              <w:pStyle w:val="780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ганизационны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мероприятия по противодействию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ind w:left="10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lang w:eastAsia="ru-RU"/>
              </w:rPr>
              <w:outlineLvl w:val="4"/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координации деятельности органов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Няндомско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муницип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льного района Архангельской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органов местног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самоуп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Мошинское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Шалакушское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сфере противодействия коррупции, в том числе в ходе реализации мероприятий Плана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на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годы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яндомском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иципальном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районе Архангельской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(далее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соответ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ственно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План,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муниципальное 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ование)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Предоставление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ходе реализации мер по противодействию коррупции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муниципальном образовании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управление по вопросам противодействи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ции администрации Губернатора Архангельской обл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ительс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тва Арх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нгельской области (далее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соответственно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администрация Губернатора и Правительства Архангельской области,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УВПК)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(по форме «Мониторинг-К»)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соответствии с методическими реко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мендация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Ежеквартально,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квартал – до 10 апр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квартал –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 июля;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квартал – до 10 октября;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год – до 31 декабря отчетного года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Осуществление контроля за исполнением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редостав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ление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клада об исполне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нии Плана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 А.Г.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лаева К.И.,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 31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отчет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оде выполнения мероприятий Плана на заседании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противодействию коррупции в муниципальном образовании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венно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совета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ипального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квартале года, следующего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отчетным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Размещение информации об испол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лана на официальном сайте муниципального образования в информационно-телекоммуникационной сети «Интер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 сеть «Инт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ернет»)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Попов А.Н.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  <w:br/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квартале года, следующего </w:t>
              <w:br/>
              <w:t xml:space="preserve">за отчетным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и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беспечение деят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ельности совета по противодей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муниципальном образовании,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утверждение плана работы совета по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тиводейс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твию коррупции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муниципальном образовании на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годы;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обеспечение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проведения заседаний 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по противодействию корру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пции;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обеспечен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ссмо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трения каждого установленного факта коррупции в органах местного самоуправления и подведом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им организация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х, в том числе сообщений в средствах массовой информации;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обеспечение рассмотрения инфо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рмации правоохранительных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о несоблюд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ми, замещающими муниципальные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муниципальных образованиях Архангельской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 лица, замещаю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щие муниципальные должности)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муниципальными служащими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образований Архангель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ской области </w:t>
              <w:br/>
              <w:t xml:space="preserve">(далее – муниципальны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служащи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запрет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ов, неисполнении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обязанност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установленны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Федеральным законом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25 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кабря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273-Ф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противодейс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твии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другими федеральными законами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(далее – антикорруп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ционн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ые 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раничения)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 организация контроля 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 решений советов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противодействию коррупции,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путем информирования или рас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смотрени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на очередном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заседании советов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противодейств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 коррупции доклада об исполнении решений советов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тиводействию коррупции, принятых на предш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еству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беспечение освещения деятельности совета по противодействию коррупции в сре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дствах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ассовой информа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ции и на официальном сайте админист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ации муниципального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сети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Интернет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tabs>
                <w:tab w:val="left" w:pos="33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tabs>
                <w:tab w:val="left" w:pos="33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tabs>
                <w:tab w:val="left" w:pos="334" w:leader="none"/>
              </w:tabs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 А.Г.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Исаева Е.В.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30 января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Ежеквар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мере поступления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мере проведения заседаний совета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Ежеквартально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совещаниях при главе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либо </w:t>
              <w:br/>
              <w:t xml:space="preserve">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заседаниях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обществен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совет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вопросов правоприм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рактики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езультатам вступивш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 в законную силу решений судов, арбитражных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судов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признании недействительными ненормативных правовых актов, незаконными решений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действий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бездействия) администрации муниципал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ьного образования, органов адм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нистра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ования и их должностных лиц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целях выработки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принятия мер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предупреждению и устранению причин выявленных нарушений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жеквартально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(до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числа месяца,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ледующего за отчетным периодом), по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ере вступления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 соотв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етст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щих судебных решений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2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незамедлительного информирования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 Губернатора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Правительства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Архангельской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проведении в отношении лиц, замещающи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рабо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мест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 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руководителей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работников подведомственных организаций следственных и оперативно-розыскных мероприятий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двух календарных дней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 дня, когда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стало известно о данном факте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трукци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служащих с целью минимизации коррупционных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рисков, а 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положений об органах местных администраций, осуществляющих профилактику коррупционных правонарушений,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инструкций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служащих,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должн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бязанности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ходит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участие в противодействии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организационного и методического сопровождения, кон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сультаци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онной и информа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ционной поддержки органов местного самоуправления поселений, входящих в состав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Няндомского муниципального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Арханг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вопросам противо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действия коррупции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Сов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ерш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енствование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правового регулиро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вания в сфере противодействия коррупции в м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ниципальном образовании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outlineLvl w:val="4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Подготовка и принятие необходим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нормативных правовых 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лок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правовых акт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стного 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направленных на проти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ормативных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етстви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с законодательств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 Российс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кой Федера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ции и Архан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гельской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бласти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противодействии коррупц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ии, а 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кже актуализаци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сфере противодействия коррупции, в том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числе размещенных на офици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альном сайте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муниципального 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60 дней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 дня вн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есения 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законодате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льство Росси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йской Феде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рации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Архангельской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бласти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(если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установлены иные сроки)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проведения антикоррупционно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экспертизы 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нормативных правовых акто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и проект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муницип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альных нормати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вных правов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актов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порядке,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дусмотр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енном постановлением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дминистр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ации муниципаль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образования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25 апреля 2013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года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839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утверж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проведения антикоррупционной экспертизы муниципальных нормативных прав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овых актов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проектов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ципальных нормативных правовых актов в админ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Няндомского района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оценки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регулирую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оздействия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проектов муниципальных нормативных правовых актов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затрагивающи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вопросы 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уществления предпринимательской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инвестиционной деятельности,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соответствии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порядком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проведения оценки регулирующег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воздей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ствия проектов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Няндомского муниципального района Архангельской области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затрагивающих вопросы осуществления предприн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имательской и инвестиционной деятельности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утвержденным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решением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Собрания депутатов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Няндомский муниципальный район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 22 дека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бря 2016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135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Дубова О.Н.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срока 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условий для проведения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институтам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гражданск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общества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незави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антикоррупционной экспертизы муниципальных нормативных право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вых акто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их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17 июля 2009 года № 172-Ф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 </w:t>
              <w:br/>
              <w:t xml:space="preserve">«Об антикоррупционной э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кспертизе нормативных правовых акт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и проект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 норматив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правовых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актов»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ановлением Правительства Российской Федерации от 26 февраля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2010 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№ 96 «Об ант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икоррупционной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экспертизе нормативных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авовых актов </w:t>
              <w:br/>
              <w:t xml:space="preserve">и проектов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ормативных правовых актов»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обеспечение размещен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проектов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нормат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ивных 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специальном разделе официального сайта админист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ьного 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ания в сети «Инте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Кудлаева 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в органы прокуратуры муниципальных нормативных правов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актов и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проектов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ля проведения 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вовой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ррупционной экспертизы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Кудлаева К.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предоставления принятых муниципальных норма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тивных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гистр муниципальных правовых актов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образовани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Арха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нгельск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ой области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целях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роведен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их правовой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антикоррупцион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ной экспе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ртизы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Кудлаева К.И.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7 дней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 дня их подписания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исполнения муниципальных правовых актов, направленных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совершенствование 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ганизационных основ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тиводейс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чение срок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ind w:left="1080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8"/>
              <w:ind w:left="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III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Мероприятия, направленные на соблюдение ограничений и запретов, требований о предотвращении или урегулировании конфликта интересов, а также испо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лнение обязанностей, уста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новленных в целях противо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действия ко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ррупции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едение обя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дного инструктажа для гражда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поступающих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муниципальную службу, в ходе которого муниципальному служащему должны быть разъяснены основные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антикоррупционные ограничения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налагаемые на него в целях противодейств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тветствен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шение коррупционных правонару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обеспечено его ознакомление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перечнем и содержанием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соответствующих методических материалов антикоррупционного содержания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 юридическо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плана,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позднее 3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абочих дней 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дня поступле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ипальную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службу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мероприятий по профессиональному развитию в области противодействия коррупции лиц, впервые поступивших на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ьную службу или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работу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замещающих должно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отношении которы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установлены 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коррупцион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ные ограни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Ежегодно, не реже одного раза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полугодие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практичес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ких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еминаров и совещаний по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нтикоррупционной тематике </w:t>
              <w:br/>
              <w:t xml:space="preserve">для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лиц, замещающих муниципальные должности, в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 числе: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соблюден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щими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коррупционных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порядку представле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ципальными служ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ащими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сведений о доходах, расходах,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иму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ществе и обязательствах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имущественного характера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(далее – св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едения о доходах)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учетом ежегодн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обновляемых 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дических 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комендаций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инистерства труда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социальной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зашиты Российской Феде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– Минтруд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России)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вопросам представления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аполнения соответствующе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формы справки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а также презентационных матери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алов, выпускаемых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УВПК;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мировани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 у муниципальны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служащих негатив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отношения к дар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ению под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арков этим служ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ащим в связи с их должностным положением 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в связи с исполнением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ими служебных обязанност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мерах ответственности за совершение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ционной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об увольнении в связи с утратой доверия, о порядк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оверки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ведений, предст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авляемых указанными лицами в соответствии с законода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тельством Российской Фед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ерации </w:t>
              <w:br/>
              <w:t xml:space="preserve">о противодействи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коррупции;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уведомлению муниципа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льными служащими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нимателя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(работодателя) </w:t>
              <w:br/>
              <w:t xml:space="preserve">о выполнении иной оплачиваемой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облюде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нию обяза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нности сообщать о воз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никновении личной заинтересован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 </w:t>
              <w:br/>
              <w:t xml:space="preserve">при исполнении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лжностных обязанностей,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которая приводит или может привести </w:t>
              <w:br/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конфликту интере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сов, а также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еры по предотвращению или урегулированию такого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нфли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кта;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облюдению 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ебований по предот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вращению и (или) урегулированию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нфликта интересов (на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нкретных примерах, с пом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ощью которых муниципальные служащие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лжны приобрести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авыки оценки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свои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вий для понимания конфликта интересов, научиться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елять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нфликт интересо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отличать его от иных форм должностных коммуникаци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й);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 уведомлению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иципальными служащим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представителя нанимателя (работодателя),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прокурат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уры или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обо всех случаях обра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ним каких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-либо 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 в целях склон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к совершению коррупционных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авонарушений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проверке сведений, содержащихся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указанных обращениях;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по ины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 вопросам, способствую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 формированию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отрицате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тношения </w:t>
              <w:br/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плана,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 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раза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полугодие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апреля года, следующего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отчетным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Проверка знаний муниципальных служащих законодательств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Российской Федерации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противодействии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помощью тестирования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егодно,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год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(декабр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Систематическое консультирование муниципальных служащих, лиц, замещающих муниципальные должности, по вопросам противодействия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коррупции, в том числе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по вопросам соблю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антикоррупционны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Подготовка методических рекомендаций (инструктивных писем) по вопросам противодействия коррупции для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работников органов местного сам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оуправле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ния, рук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одителей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аботников подвед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мероприятий, направленных на профессиональное развитие 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служащих,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должностные обязанности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оторых входит участие в противоде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йствии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 числ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обучение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програм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лнительного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 в области противодействия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меропри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ятий,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правленных на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рофесс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иональное развитие муниципальных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работ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ников, в должн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ные обязанности кот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входи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 участие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проведении закупок товаров, работ, услуг для обеспечения государственных нужд, в том числе их обучение по дополнительным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професс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иональным прогр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аммам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области противодействия коррупц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 срока действия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Осуществлени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конт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роля 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соблюдением муниципальными служа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щими: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порядка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щения о получении подарка в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вязи с их должностным положением или исполнением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ими служебных (должностных) обязанностей, о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даче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оценке подарка, реализа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ции (выкупа) и зачисл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ении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доход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бюджета средств, вырученных 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 реализации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обяз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по пред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оставлению полных и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остоверных сведений о дохода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отношении себя, так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в отношении супруги (с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упруга) и несовершеннолетних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детей;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обязанности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предварительном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 уве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домлен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дставителя нанимателя 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ыполнении иной оплачи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ваемой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аботы;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обязан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ведомлению представителя нанимателя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прокуратуры или други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факте обращения в целях скл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совершению кор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рупционных право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нарушен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обязанности по уведомлению представителя нан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имател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о возн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икновении лично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заинтересованности при исполнении должностных обязанностей, кото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рая может привести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конфликту интересов;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бяз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анности по перед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аче принадлежащи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им це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нных бу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маг (долей участ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уставных (складочных) капиталах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довер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ительное управл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 гражданским законодательством Российской Фе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дерации;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ограничений, налагаемых на граждан,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замещавших должнос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ть муниципальной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лужбы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заключении ими 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удов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или гражданско-право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вого договора;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запрета отк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рывать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иметь счета (в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клады), хранить наличные денежные ср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едства </w:t>
              <w:br/>
              <w:t xml:space="preserve">и ценности в иностранн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банках, расположенных за пределами территор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Российской Федер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ации, владеть и (ил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и)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ольз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оваться иностранным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фи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нанс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овыми инстр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ументами </w:t>
              <w:br/>
              <w:t xml:space="preserve">в случ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аях, предусмотренных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Федераль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ным законом от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 мая 2013 года № 79-ФЗ «О запрете отдельным категориям лиц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открыв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ать и иметь счета (вклады), хранить наличные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енежные средства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ценности в иностран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банк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ах, расположенных 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ами террито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рии Российской 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едерации, владеть и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или) 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ьзоваться иност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ранными финансовыми инструментами»;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иных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антикоррупционных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монитор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 средств массово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на наличие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публ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икаци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о 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актах коррупции и иных неправомерных действиях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лиц, замещающих муниципальные дол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жности,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работников орг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анов местного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самоуправления,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руководителей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работников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подведомств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Исаев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Е.В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срока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твия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проведения работы, направленной на выявление личной заинтересованности,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торая приводит или может привести к конфликту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интересов при осуществлении закупок товаров,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работ, услуг дл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обеспечения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альных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ужд в соо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мет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одиче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скими реко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мендациями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интруда России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 информации о результатах работы по выявле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нию личной заинтересованности при осуществлен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закупок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вами юр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идическог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сент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инфор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случаях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вления признаков личной заинтересова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нности (описание нарушения,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содержание решения комиссии по соблюдению требований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служебному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урегулировани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 конфликта интересов с мотивировкой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ринятого решения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меры по урегулированию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нфл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икт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интересов,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отношении лица, допустившего нарушение)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оздн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ее одного рабочего дня, следующего за днем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ыявлени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рабо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ты по выявлению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минимизации коррупционных рисков </w:t>
              <w:br/>
              <w:t xml:space="preserve">при осуществ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лении закупов товаров, работ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луг для обеспе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нужд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итогового доклада о результат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ах работы по выявлению и минимизации корр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упционных риско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при 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уществлении зак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упов товаров, работ, услуг для обеспеч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нужд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мякина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2021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до 1 ноября,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далее – ежегодно </w:t>
              <w:br/>
              <w:t xml:space="preserve">до 1 сентября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системат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ическо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проведения оценки 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ционных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рисков, возника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ющих при реализации муниципальным образованием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воих функций, и внесение уто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чнений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перечень должностей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пальной сл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ужбы муниципального образования, замещ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которых связано с коррупц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ионными рисками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(далее – перечень должносте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а 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кже 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ет данных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должностей в утвержд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аемом главой муниципального образования перечне конкрет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должностей муниципальной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бы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образования,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назначении на которые граждане и при замещени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которых муниципальные служ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ащие обязаны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сведения о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воих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а также сведения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своих супруги (с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упруга) и несоверше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ннолетних детей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иняти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муниципального правового акта, которым вносятся изменения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перечень должностей,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принятии муниципального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правовог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акта, утвержд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ающего новый перечень должностей, вместе с рекв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изитами таких муници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пальных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правовых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актов, а также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 отсу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изменени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в переч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должностей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31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31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установленном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орядке: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оказания консультационной помощи при заполнении справок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ьным служа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щим, лицам, замещающим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ипальные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сбора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служащих, лиц, замещающих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ипальные должнос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рассмотрени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заявлений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служащих о невозможности по объективным причинам предс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тавить свед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о дохо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отношении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своих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 (супру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гов)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несовершеннолетних детей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опубликования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лиц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зам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еща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ющих муниципа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приема уточненных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служащих, лиц, заме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щающих муниципальные должности;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опубликован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уточненных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 служащих, лиц, замещающих муниципальные дол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 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Севастьянов В.В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Севастьянов В.В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30 апрел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30 апреля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30 апреля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 рабочих дней со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 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течен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срока,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установленного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дачи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31 мая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14 рабочих дней со дня истечения срока, установленного для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дачи уточ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ненных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едение 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ализа сведени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реннего анализа сведений о дохо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составл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ением справки на каждую представленную справку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подготовка сводной спр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авки по результат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ам анали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сведений о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сводной информации об итогах проведения анал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иза сведений о доходах муниципальн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жащих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Рассмотрение результатов анализа сведений о доходах муниципальных служащих </w:t>
              <w:br/>
              <w:t xml:space="preserve">на заседании ком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иссии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трации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10 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  <w:br/>
              <w:t xml:space="preserve">до 31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анализа сведен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о рас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служащ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их, а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акже членов их семей (супруг (супругов) и несовершеннолет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них детей) в случае совершения ими в отчетном периоде сделок, предусмот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ренных частью 1 статьи 3 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едерального закона </w:t>
              <w:br/>
              <w:t xml:space="preserve">от 3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екабря 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30-ФЗ «О контро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 за 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ответствием расходов 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ц, замещающих государственные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должности, и иных лиц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 доходам» (да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лее – Федеральный закон </w:t>
              <w:br/>
              <w:t xml:space="preserve">№ 230-ФЗ),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сопоставимого анализа сведений о 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асходах с доходами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жащи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анализа условий и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бстоятельств 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ершения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служащими сделки (сделок), в том числе закон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ность приобретения объекта (объектов) (соотно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шение стоимости объекта (объектов) и источников полу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чения доходов на его (их)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приобретен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ие), сопос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тавление реальной рын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очной стоимости объекта (объектов) с ценой, указанной </w:t>
              <w:br/>
              <w:t xml:space="preserve">в договоре (договорах)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сводной инфо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рмации об итогах проведения анализа сведений о расходах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служащих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 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  <w:br/>
              <w:t xml:space="preserve">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31 декабря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информации для осуществления контроля за расходами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отношении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иципальных служащих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наличии достаточных оснований Губернатору Арха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нгельской области в порядке, предусмотр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енном указом Губернатора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Архангельской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бласти от 2 июля 2013 года № 78-у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плана, </w:t>
              <w:br/>
              <w:t xml:space="preserve">не позднее двух рабочи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дней со дня,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огда об этом стало известно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числе, путем инициирования перед Губернатором Архангельско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области предложений о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аправлении 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представлении сведений, составляющих банковскую, налоговую или иную охраняемую закон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 тайну в поряд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ке, установленном указом Губернатора Архангельской области от 17 августа 2012 года № 128-у: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проверок достов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ерности и полноты сведен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едставленных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муниципальными служащими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проверок соблюдения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муниципальными служащими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оррупционных ограничений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ганов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ока действия плана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(при наличии оснований)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информации о несоблюдении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лицами, замещающими муниципальные долж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ости,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коррупционных ограничений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УВПК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соответствии с пунктом 6.1 Порядка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проверки, предусмотренного приложением № 2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областному закону от 26 ноября 2008 года № 626-31-ОЗ «О противодействии корр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Арханге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льской области»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(далее – областной зако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№ 626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-31-ОЗ)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плана, </w:t>
              <w:br/>
              <w:t xml:space="preserve">не позднее трех рабочих дней </w:t>
              <w:br/>
              <w:t xml:space="preserve">с момента поступления 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7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эффективного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регулярного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функционирования комисси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рассмотрение на 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седании комиссии каждо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акта 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соблюде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 муниципальными служащими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ционных ограничений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рассмотрение на заседа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нии комиссии вопросов, содержащих основания для проведения заседания комиссии в порядке, предусмотренном Положением о комиссии по 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людению требований к служ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ебному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поведен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муниципальных служащих и урегулированию конфликта интересов в органе местного сам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оуправления, аппарате избирательной комиссии муниципального образования Архангельской области, утвержденным указом Губернатора Архан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ельской области от 4 авгу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 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года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№ 89-у;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обеспечение участия в деятельности комиссии представителей научных, образо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вательных организаций и общественных объединений;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обеспечение применения предусмотренных законодательством мер юридической ответст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енности в случае несоблюд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ьными служащими антикоррупционных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Информирование УВПК о рез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ультатах деятельности комиссии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Ежеквартально,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I квартал – до 10 апреля;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II квартал – до 20 июля;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III кв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артал 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10 октября;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год –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31 декабря отчетного года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Оказание содействия УВПК в пределах компетенции по следующим направлениям: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сбор представляемых лицами, замещающими муниципальные должности, сведений </w:t>
              <w:br/>
              <w:t xml:space="preserve">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 числе заявлени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о нес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овершен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в отчетном периоде сдел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предусмотренных частью 1 статьи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Федер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ального закона № 230-ФЗ, передача указанных сведений в УВПК согласно Методическим рекомендациям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обеспечению исполнения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лицами, замещающими муниципальные должности, обязан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предс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тавлению сведений о дохода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разработанным УВПК;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уведомление в письменной форме лиц, замещающих муниципальные должности,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начале в отношении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их проверки, предусмотренной пунктом 3 статьи 7.2 областного закона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  <w:t xml:space="preserve">№ 626-31-ОЗ;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уведомление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пись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менной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 лиц, замещающих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пальные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времени и месте рассмотрения доклада, мотивированного заключения, подготовл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на заседании президиума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комиссии по координации работы по противодействию коррупции в Архангельской облас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кевич И.М.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рока действия план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 </w:t>
              <w:br/>
              <w:t xml:space="preserve">до 30 апреля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ind w:left="108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IV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Меро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приятия по совершенствованию взаимодействия с институтами гражданского общества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гражданами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 обеспечение доступ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информации о де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тельности в сфере против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оде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йствия коррупции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ind w:left="1080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outlineLvl w:val="4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институтами гражданского общества по вопроса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 противодействия коррупции: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включение представителей общественных объединений, общественности, ученых и иных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специа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листов в состав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совещательных и вспомог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льных органов при главе муниципального образования;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совещаний, круглых столов, ины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мероприятий с участием представителей общественных объединений;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вынесение на общественное обсуждение проекто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ципальных норма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ивных правовых актов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 А.Г.,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работы общественного совета муниципального образован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и привлечение членов общественного совета к антикоррупционной раб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оте: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рассмотрение на заседаниях общественного со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вета планов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ротиводействию коррупции, отчетов и других документов о ходе и результатах принимаемых мер по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противодействию коррупции в муниципальном образовании;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участие пре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дставителей общественного совета в заседаниях коми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ссии по соблюден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требований к служебно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оведению и урегулированию конфликта интересов;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участие членов общественного совета в деятель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 аттестационной и конкурсной комиссии в муниципальном образован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 А.Г.,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9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чета и анализ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обращений граждан и юр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идиче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ских лиц о фактах коррупции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иных неправомерных действиях лиц, замещающи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муниципальные дол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жности, муниципальных служащих, поступ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ающих посредством: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личного 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 главой муниципального образования (заместите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главы муници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пального образования);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фона доверия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по фактам коррупционной направленност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письменных обращений;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«Интернет-п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мной» на сайте администрации;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иными способами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Вислых Ю.Ю.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наполнения специал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ьного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здела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официальном сайте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образования в сети «Интернет», посвященного прот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иводействию коррупции, информа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цией об организации работы по противодействию коррупции в муниципальном образовании с 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етом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рименения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 органам местного самоу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Требований </w:t>
              <w:br/>
              <w:t xml:space="preserve">к размещению и наполнению подразделов, посвященных вопросам противодействия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коррупции, официальных сайтов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исполнительных органов государственной власти Архангельской области и страниц исполнител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ьных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рганов гос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ударственной власти Арха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нгельско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области на официальном сайте Правительства Архангельской области </w:t>
              <w:br/>
              <w:t xml:space="preserve">в информационно-телеко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ммуникационной сети «Интернет»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утвержденных указом Губернатора Архангельской области от 24 июля 2015 года № 84-у, в 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 чис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 регуляр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ного размещения новостны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матери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касающихся деятельности муниципального образования в обл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асти противодействия коррупции (не менее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 публикаций в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новостной информации, имеющей наиболее высокую значимость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а также име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ющей 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ношение к широкой аудитории, в УВ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ПК для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змещения в ГИС «Противодействие коррупции в Архангельской 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ласти»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Кудлаева К.И.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Попов А.Н.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 </w:t>
              <w:br/>
              <w:t xml:space="preserve">(по мере размещения)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взаимодействи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муниципально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образ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ования со средствами массовой 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формации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сфере противодействия коррупции, в том числе оказание сод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ействия средствам массовой информации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освещении мер по противодействию коррупции, принимаемых в муниципальном образовании (социальны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видеоролики,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видеосю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жеты, публикации в районных газе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тах и т.д.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(не менее одной публикации в месяц), и придании гласност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фактов коррупции, а также случаев не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соблюдения требований о предотвращении или об урегулировании конфликта интересов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Исаева Е.В.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 действия пл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ind w:left="1080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8"/>
              <w:ind w:left="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V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Мероприятия информационно-пропа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гандистског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 обеспечения по снижению правового нигилизма населения,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ind w:left="22" w:hanging="22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формированию антикоррупционн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ого общественного мнения и нетерпимости к коррупционному поведению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мер по повышению уровн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правовой гра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мотности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граждан, их правового воспитани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и популяр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изации антикоррупционных стандартов поведения, основанных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знаниях общих прав и 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язанностей, и при необходимости внесение соответствующих изменений в муниципальные нормативные правовые ак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ты, в том числ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разр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аботка 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размещение 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официально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 сайте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просам повышения уровня правосознания граждан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популяризации антикорр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упционных стандартов поведения, основанных на знаниях общих 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и обязанност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органи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зация и провед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публичных мероприятий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участием гл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авы муниципал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ьного образования, депутатов представительного органа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униципального образования, общественных объед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инений и иных некоммерческих организаций, средств массовой информации для обсуждения проб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лем противодей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ствия и профилактики корру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Няндомского района,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длаева К.И.,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Попов А.Н.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 срока дейст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вия пл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информационной поддержки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грамм, проектов, акций и других инициатив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сфере противодействия коррупции, осуществляемых институтами гражданского общества на терр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итории муницип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ального образования, в том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числе с испол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ьзованием офиц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иально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сайта муниципального образования в сети «Инте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Включение в ежегодный отчет главы муниципального образования о результатах своей деятельнос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ти информации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деятельности администрации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обр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касающейся вопросов противодействия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Ведерников А.Г.,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лаева К.И.,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Станкевич И.М.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Размещение в зданиях и помещениях, занимаемых органами местного самоуправления муниципального образован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ия и подведомс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венных им учреж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дений, инфор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мационных 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ендов, мини-пла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катов социальной рекламы, направленных на профилактик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 коррупционных проявлений со стороны граждан и предупреждение коррупционного поведения муниципальных служащих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Кудлаева К.И.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низация и проведение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 де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кабря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ународный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день 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орьбы с коррупцией) антикоррупционных мероприятий (п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отдельному плану)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ind w:left="1080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8"/>
              <w:ind w:left="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VI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Обеспечение мер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по противодействию коррупции в организация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х, подведомстве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нных о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рганам местног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 самоуправления муниципальног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 образова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ния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ние разработки и утверждения с учетом специфики дея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тельности подведомственных организаций планов работы по противодействию коррупции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годы в указанны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организациях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обес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печение контро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ля за реализацией мероприятий,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предусмот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ренных такими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Килякова Т.С.,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Жилинский Д.С.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ноября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2021 года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прове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дения совещаний (обучающих мероприятий) с руководителями (заместителями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руководителей)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работниками подведомственных организаций по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опросам органи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зации работы по противодействию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коррупци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и, в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соблюдению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антикоррупционных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ограничений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порядку представления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 учетом ежегодно обновляемых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Методических 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комендаций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Минтруда России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вопросам представления сведений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заполнения соответс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твующей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формы справки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 дох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а также презентационных материалов, выпускаемых УВПК;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формирован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у руководителей и работников подведомствен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организаций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негативного отношения к дарению подарков в связи с их должнос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тным положен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ием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или в связи с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сполнени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ем ими служебных об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язанностей;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соблюдению руководител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работник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подведомственных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организаций обязанности сообщать о возникновен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личной заинт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ересованности при исполнении должностных обязанностей, которая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приводит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 может привести 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онфликту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интересов,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такж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принимать меры по предотвращению или урегулированию такого конфликта;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соблюдению требований по предотвращению и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или) урегулиров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анию конфликта интересов (на конкретных примерах, с помощью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торых руко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водители и работники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одведомс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твенных организаций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должны приобрести навыки оценки своих действий </w:t>
              <w:br/>
              <w:t xml:space="preserve">для понимания конфликта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интересов, научиться определять конфликт интере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сов, отличать 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от иных форм должностных коммуникаций);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уведомлению 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ями и работниками подве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домствен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организаций сво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его работодателя в случае обращения к ним в целях склонения к совершению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коррупционных правонарушений и проверке сведени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й, содержащихся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указанных обращениях;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иным вопросам, способствующим фо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рмирован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ию отрицательного отноше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ния </w:t>
              <w:br/>
              <w:t xml:space="preserve">к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 А.Г.,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Килякова Т.С.,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Жилинский Д.С.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  <w:br/>
              <w:t xml:space="preserve">не менее одного раза </w:t>
              <w:br/>
              <w:t xml:space="preserve">в полуго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апреля года, следу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ющего </w:t>
              <w:br/>
              <w:t xml:space="preserve">за отчетным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проведения профилактического мероприятия (совещания, семинара, лекции), направленного на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едопущен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 получения работниками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образов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ательных организаций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медицинских организаций, орган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изаций, оказыва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ющих социальные услуги,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 аналогичных организаций, в том числе организаций для детей-сирот и детей, оставшихся без попечения родителей, подарков от 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раждан,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находящихся в организация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на ле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чении, содержании </w:t>
              <w:br/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 воспитании, от супругов и род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ственников этих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Ведерни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 А.Г.,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Килякова Т.С.,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Жилинский Д.С.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ока действия плана, 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своевременного представления лицами, замещающими должности руководителей муниципа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лных и достове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рных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ведений о доходах,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том числе: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оказание консультационной помощи при заполнении справок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гражданам, претендующим на замещение должностей руководителей муниципальных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лицам, замещающим данные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ности (провед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 персональны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конс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ультаций, семинаров,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круглых столов);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анализа сведений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граждан, претендующих на замещение должностей руководителей муниципальных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лиц, замещающи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данные должности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целях выявления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возмо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нарушений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законодательст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работы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опубликованию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руководителей муниципальных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официальном сайте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ципального образования в сети «Интернет»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проведение работы по приему уточненных сведений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ходах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руководит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ниципал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организ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ация работы по опубликованию уточненных сведений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руководителей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официальном 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йте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муниципального образования в сети «Интернет»;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- организация проверок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рности и полнот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 представленн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све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дений 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ставляемых гражданами, претендующими на замещение должносте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лицами, замещающими данные должности.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сводной информации об итогах проведения 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нализ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сведений о 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ходах, предста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вленны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лицами, замещающими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должности руководителей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муниципальных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уч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реждений Архангел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ьской области,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Килякова Т.С.,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Жилинский Д.С.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30 апреля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декаб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14 рабочих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ней со дня истечения срока, установ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го для подачи сведений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 1 по 31 мая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14 рабочих дней со дня истечения срока, установленного для подачи сведений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доходах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(при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наличии оснований)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Применение методически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рек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омендаций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Минтруда Рос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 разр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аботке и принятию организациями мер по предупреждению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противодействию коррупции в целях формирования единого подхода к обеспечению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работы по проф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илактике и противодействию коррупции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 подведомственных муниципальных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ениях и муниц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ипальных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унитарных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предприятиях муниципальных образований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подведомственных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учрежд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и предприятий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ечение осуществления контроля за соблюдением законодательства Российской Федерации о противодействии ко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ррупции в подведомственных органа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естн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самоуправ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ления орга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низациях,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а также за реализацией в этих организациях мер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по профилактике 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оррупционных пр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авонарушени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Зубова И.А.,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Килякова Т.С.,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Жилинский Д.С.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осуществления финансового контроля за дея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тельностью подведомственных организац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Кононова С.А.,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ка действи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осуществления ведомственного контроля в сфере закупок для обеспечения муниципальных нужд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 соблюдением требований Федерального закона от 18 июля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2011 года № 223-ФЗ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 закупках товаров, работ, услуг отдел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ыми видами юр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ических 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ц»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(д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ее – Федеральный закон № 223-ФЗ)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иных принятых в соответствии с ним нормативных правовых актов Российской Федерации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С.А. Кононова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проведения в подв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едомственных организациях работы, напра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ной </w:t>
              <w:br/>
              <w:t xml:space="preserve">на вы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явлен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ие лично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й заин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тересованности, которая приводит или может привести </w:t>
              <w:br/>
              <w:t xml:space="preserve">к конфликту интересов при осуществлении закупок товаров, работ, услуг для обеспечения муниципальных нужд в соответствии с методичес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кими рекомендациями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Минтруда России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trike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strike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вление сводной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о результатах мониторинга работы по выявлению личной заинтересованности в подведомственных организациях при осуществлени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закупок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товаров, работ, услуг для обеспечения государственных ну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жд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подведомственных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ципальных учреж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и предприятий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ействия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сентяб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Направление информации о случаях выявления признаков личной заинтересованности (описание нарушения, содержание принятого решения, меры ответственности или 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ые меры воздейс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твия в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тношении 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ица, допустившего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арушение) 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подведомственных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учрежд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и предприятий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 позднее одного 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бочего дня, следующего за днем выявления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Мониторинг реализации мер по минимизации коррупцион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рисков при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осуществлении подведомственными организациями закупок товаров, работ, услуг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для обесп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ечения муниципальны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нужд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вление обобщенной информаци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о результатах мониторинга в УВПК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подведомственных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учрежд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и предп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2021 г. –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ноября,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далее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–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ежегодно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до 1 сентября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информации о деятельности по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дведомстве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нных организаций </w:t>
              <w:br/>
              <w:t xml:space="preserve">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соответств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ии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Федеральным законом от 9 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евраля 2009 года № 8-ФЗ «Об 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беспечении дост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упа к информации о деятельности государственных органов и органов местного самоуправления», в том числе на официальных сайтах организаций в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ети «Интер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нет»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ководител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подведомственных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муниципальных учрежд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ий и предприятий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contextualSpacing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действи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пла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92" w:type="dxa"/>
            <w:vAlign w:val="top"/>
            <w:textDirection w:val="lrTb"/>
            <w:noWrap w:val="false"/>
          </w:tcPr>
          <w:p>
            <w:pPr>
              <w:pStyle w:val="780"/>
              <w:ind w:left="1080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outlineLvl w:val="4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 xml:space="preserve">VII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Совершенствование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механизмов противодействия коррупции в сфере муниципального заказа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и распоряжения муниципальной собственностью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ind w:left="1288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b/>
                <w:bCs/>
                <w:lang w:eastAsia="ru-RU"/>
              </w:rPr>
              <w:outlineLvl w:val="4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Обеспечение правовой и антикоррупционной экспертизы закупочной док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ументации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 осуществлении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муни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ципальн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ых за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на поставку товаров,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выполнение работ, оказание услуг для муниципальных нужд муниципального образования и нужд муниципальных учреждений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Осипова Т.В.,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Изотова А.А.,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равами юридического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Проведение мониторинга осуществл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закуп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ок в соответствии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требования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ми Фед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ерального закона от 5 апрел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я 2013 года № 44-ФЗ «О контрактной системе в сфере закупок товаров, работ, услуг для обеспечения государственных и 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униципальных ну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жд»,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Федеральным законом № 223-ФЗ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цен закупаемой про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дукции, эф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фективности и целев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ого расходо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вания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бюджетных средств при прове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дении закупок для муниципальных нужд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Осуществление контроля за возможным участием в закупках на стороне поставщиков (подрядчиков, исполнителей) 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лизких родс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твенников лиц, заме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щающих мун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ные должности, муниципальны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служащих в целях предотвращ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конфликта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интересов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Совершенствование условий, процедур и механизмов муниципальных закупок на поставку товаров,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, оказание ус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г для му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ниципаль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ных нужд муниципального обр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Организация проверок выполнения условий муниципальных контрактов 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 поставку това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ров, выполнение работ, оказание услуг для муниципальны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х нужд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Шемякина М.А.,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органов администрации, обладающие п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равами юридического лица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течение срока дейст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Осущес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твление контроля за использ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ованием муниципального 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мущества, в 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числе переданного в аренду, хозяйственное ведение и оперативное управление. Организация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проведение проверок использования муниципального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имущества,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переданного в арен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ду,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числе пол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ноты и своевременности внес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ения арендной платы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Свин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цова Н.А.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ение срока действия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810" w:type="dxa"/>
            <w:vAlign w:val="top"/>
            <w:textDirection w:val="lrTb"/>
            <w:noWrap w:val="false"/>
          </w:tcPr>
          <w:p>
            <w:pPr>
              <w:pStyle w:val="780"/>
              <w:jc w:val="both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Совершенствование финансового контроля за использованием средств бюджета муниципального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7" w:type="dxa"/>
            <w:vAlign w:val="top"/>
            <w:textDirection w:val="lrTb"/>
            <w:noWrap w:val="false"/>
          </w:tcPr>
          <w:p>
            <w:pPr>
              <w:pStyle w:val="780"/>
              <w:jc w:val="center"/>
              <w:spacing w:after="0" w:line="240" w:lineRule="auto"/>
              <w:widowControl w:val="off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Кононова С.А.,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780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Панфилов Н.Г.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80"/>
              <w:ind w:left="-108" w:right="-108"/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течение срока дейс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твия плана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pStyle w:val="780"/>
        <w:jc w:val="center"/>
        <w:spacing w:after="0" w:line="240" w:lineRule="auto"/>
        <w:widowControl w:val="off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80"/>
        <w:jc w:val="center"/>
        <w:spacing w:after="0" w:line="240" w:lineRule="auto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</w:p>
    <w:sectPr>
      <w:headerReference w:type="default" r:id="rId11"/>
      <w:headerReference w:type="first" r:id="rId12"/>
      <w:footnotePr/>
      <w:endnotePr/>
      <w:type w:val="nextPage"/>
      <w:pgSz w:w="16838" w:h="11906" w:orient="landscape"/>
      <w:pgMar w:top="1701" w:right="568" w:bottom="851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3</w:t>
    </w:r>
    <w:r>
      <w:rPr>
        <w:rFonts w:ascii="Times New Roman" w:hAnsi="Times New Roman"/>
      </w:rPr>
      <w:fldChar w:fldCharType="end"/>
    </w:r>
    <w:r/>
  </w:p>
  <w:p>
    <w:pPr>
      <w:pStyle w:val="7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left" w:vertAnchor="text" w:tblpY="123" w:leftFromText="180" w:topFromText="0" w:rightFromText="180" w:bottomFromText="0"/>
      <w:tblW w:w="0" w:type="auto"/>
      <w:tblInd w:w="0" w:type="dxa"/>
      <w:tblLayout w:type="autofit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9570"/>
    </w:tblGrid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5253" cy="679869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5253" cy="679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44.5pt;height:53.5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АДМИНИСТРАЦИЯ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НЯНДОМС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КОГО МУНИЦИПАЛЬНОГО РАЙОНА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Georgia" w:hAnsi="Georgia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Georgia" w:hAnsi="Georgia"/>
              <w:b/>
              <w:sz w:val="36"/>
              <w:szCs w:val="36"/>
            </w:rPr>
            <w:t xml:space="preserve">П О С Т А Н </w:t>
          </w:r>
          <w:r>
            <w:rPr>
              <w:rFonts w:ascii="Georgia" w:hAnsi="Georgia"/>
              <w:b/>
              <w:sz w:val="36"/>
              <w:szCs w:val="36"/>
            </w:rPr>
            <w:t xml:space="preserve">О В Л Е Н И Е</w:t>
          </w:r>
          <w:r>
            <w:rPr>
              <w:rFonts w:ascii="Georgia" w:hAnsi="Georgia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  <w:t xml:space="preserve">от «     »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___________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202</w:t>
          </w:r>
          <w:r>
            <w:rPr>
              <w:rFonts w:ascii="Times New Roman" w:hAnsi="Times New Roman"/>
              <w:sz w:val="28"/>
              <w:szCs w:val="28"/>
            </w:rPr>
            <w:t xml:space="preserve">1</w:t>
          </w:r>
          <w:r>
            <w:rPr>
              <w:rFonts w:ascii="Times New Roman" w:hAnsi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/>
              <w:sz w:val="28"/>
              <w:szCs w:val="28"/>
            </w:rPr>
            <w:t xml:space="preserve">   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-</w:t>
          </w:r>
          <w:r>
            <w:rPr>
              <w:rFonts w:ascii="Times New Roman" w:hAnsi="Times New Roman"/>
              <w:sz w:val="28"/>
              <w:szCs w:val="28"/>
            </w:rPr>
            <w:t xml:space="preserve">п</w:t>
          </w:r>
          <w:r>
            <w:rPr>
              <w:rFonts w:ascii="Times New Roman" w:hAnsi="Times New Roman"/>
              <w:sz w:val="28"/>
              <w:szCs w:val="28"/>
            </w:rPr>
            <w:t xml:space="preserve">а</w:t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</w:rPr>
            <w:t xml:space="preserve">г. Няндома</w:t>
          </w: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</w:tbl>
  <w:p>
    <w:pPr>
      <w:pStyle w:val="780"/>
      <w:jc w:val="center"/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2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3</w:t>
    </w:r>
    <w:r>
      <w:rPr>
        <w:rFonts w:ascii="Times New Roman" w:hAnsi="Times New Roman"/>
      </w:rPr>
      <w:fldChar w:fldCharType="end"/>
    </w:r>
    <w:r/>
  </w:p>
  <w:p>
    <w:pPr>
      <w:pStyle w:val="79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pPr w:horzAnchor="margin" w:tblpXSpec="left" w:vertAnchor="text" w:tblpY="123" w:leftFromText="180" w:topFromText="0" w:rightFromText="180" w:bottomFromText="0"/>
      <w:tblW w:w="0" w:type="auto"/>
      <w:tblInd w:w="0" w:type="dxa"/>
      <w:tblLayout w:type="autofit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9570"/>
    </w:tblGrid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  <w:lang w:eastAsia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65253" cy="679869"/>
                    <wp:effectExtent l="0" t="0" r="0" b="0"/>
                    <wp:docPr id="2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565253" cy="679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width:44.5pt;height:53.5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АДМИНИСТРАЦИЯ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НЯНДОМС</w:t>
          </w:r>
          <w:r>
            <w:rPr>
              <w:rFonts w:ascii="Times New Roman" w:hAnsi="Times New Roman"/>
              <w:b/>
              <w:sz w:val="28"/>
              <w:szCs w:val="28"/>
            </w:rPr>
            <w:t xml:space="preserve">КОГО МУНИЦИПАЛЬНОГО РАЙОНА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АРХАНГЕЛЬСКОЙ ОБЛАСТИ</w:t>
          </w:r>
          <w:r/>
        </w:p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Georgia" w:hAnsi="Georgia"/>
              <w:b/>
              <w:sz w:val="36"/>
              <w:szCs w:val="36"/>
            </w:rPr>
            <w:framePr w:hSpace="180" w:wrap="around" w:vAnchor="text" w:hAnchor="margin" w:y="123"/>
          </w:pPr>
          <w:r>
            <w:rPr>
              <w:rFonts w:ascii="Georgia" w:hAnsi="Georgia"/>
              <w:b/>
              <w:sz w:val="36"/>
              <w:szCs w:val="36"/>
            </w:rPr>
            <w:t xml:space="preserve">П О С Т А Н </w:t>
          </w:r>
          <w:r>
            <w:rPr>
              <w:rFonts w:ascii="Georgia" w:hAnsi="Georgia"/>
              <w:b/>
              <w:sz w:val="36"/>
              <w:szCs w:val="36"/>
            </w:rPr>
            <w:t xml:space="preserve">О В Л Е Н И Е</w:t>
          </w:r>
          <w:r>
            <w:rPr>
              <w:rFonts w:ascii="Georgia" w:hAnsi="Georgia"/>
              <w:b/>
              <w:sz w:val="36"/>
              <w:szCs w:val="36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b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b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  <w:t xml:space="preserve">от «     »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___________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202</w:t>
          </w:r>
          <w:r>
            <w:rPr>
              <w:rFonts w:ascii="Times New Roman" w:hAnsi="Times New Roman"/>
              <w:sz w:val="28"/>
              <w:szCs w:val="28"/>
            </w:rPr>
            <w:t xml:space="preserve">1</w:t>
          </w:r>
          <w:r>
            <w:rPr>
              <w:rFonts w:ascii="Times New Roman" w:hAnsi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/>
              <w:sz w:val="28"/>
              <w:szCs w:val="28"/>
            </w:rPr>
            <w:t xml:space="preserve">    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-</w:t>
          </w:r>
          <w:r>
            <w:rPr>
              <w:rFonts w:ascii="Times New Roman" w:hAnsi="Times New Roman"/>
              <w:sz w:val="28"/>
              <w:szCs w:val="28"/>
            </w:rPr>
            <w:t xml:space="preserve">п</w:t>
          </w:r>
          <w:r>
            <w:rPr>
              <w:rFonts w:ascii="Times New Roman" w:hAnsi="Times New Roman"/>
              <w:sz w:val="28"/>
              <w:szCs w:val="28"/>
            </w:rPr>
            <w:t xml:space="preserve">а</w:t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</w:rPr>
            <w:t xml:space="preserve">г. Няндома</w:t>
          </w: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  <w:tr>
      <w:trPr/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9570" w:type="dxa"/>
          <w:vAlign w:val="top"/>
          <w:textDirection w:val="lrTb"/>
          <w:noWrap w:val="false"/>
        </w:tcPr>
        <w:p>
          <w:pPr>
            <w:pStyle w:val="780"/>
            <w:jc w:val="center"/>
            <w:spacing w:line="240" w:lineRule="auto"/>
            <w:rPr>
              <w:rFonts w:ascii="Times New Roman" w:hAnsi="Times New Roman"/>
              <w:sz w:val="28"/>
              <w:szCs w:val="28"/>
            </w:rPr>
            <w:framePr w:hSpace="180" w:wrap="around" w:vAnchor="text" w:hAnchor="margin" w:y="123"/>
          </w:pPr>
          <w:r>
            <w:rPr>
              <w:rFonts w:ascii="Times New Roman" w:hAnsi="Times New Roman"/>
              <w:sz w:val="28"/>
              <w:szCs w:val="28"/>
            </w:rPr>
          </w:r>
          <w:r/>
        </w:p>
      </w:tc>
    </w:tr>
  </w:tbl>
  <w:p>
    <w:pPr>
      <w:pStyle w:val="780"/>
      <w:jc w:val="center"/>
      <w:spacing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0"/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0"/>
        <w:ind w:left="1350" w:hanging="810"/>
        <w:tabs>
          <w:tab w:val="num" w:pos="135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80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80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80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80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80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80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80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80"/>
        <w:ind w:left="6660" w:hanging="180"/>
        <w:tabs>
          <w:tab w:val="num" w:pos="66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0"/>
        <w:ind w:left="1005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0"/>
        <w:ind w:left="666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8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0"/>
        <w:ind w:left="666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8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8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8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8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8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8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8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8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80"/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80"/>
    <w:next w:val="78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80"/>
    <w:next w:val="78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80"/>
    <w:next w:val="78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80"/>
    <w:next w:val="78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80"/>
    <w:next w:val="78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80"/>
    <w:next w:val="78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80"/>
    <w:next w:val="78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80"/>
    <w:next w:val="78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80"/>
    <w:next w:val="78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80"/>
    <w:uiPriority w:val="34"/>
    <w:qFormat/>
    <w:pPr>
      <w:contextualSpacing/>
      <w:ind w:left="720"/>
    </w:pPr>
  </w:style>
  <w:style w:type="paragraph" w:styleId="33">
    <w:name w:val="Title"/>
    <w:basedOn w:val="780"/>
    <w:next w:val="78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80"/>
    <w:next w:val="78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80"/>
    <w:next w:val="78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80"/>
    <w:next w:val="78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80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8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80"/>
    <w:next w:val="7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8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8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80"/>
    <w:next w:val="78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80"/>
    <w:next w:val="78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80"/>
    <w:next w:val="78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80"/>
    <w:next w:val="78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80"/>
    <w:next w:val="78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80"/>
    <w:next w:val="78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80"/>
    <w:next w:val="78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80"/>
    <w:next w:val="78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80"/>
    <w:next w:val="78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80"/>
    <w:next w:val="780"/>
    <w:uiPriority w:val="99"/>
    <w:unhideWhenUsed/>
    <w:pPr>
      <w:spacing w:after="0" w:afterAutospacing="0"/>
    </w:pPr>
  </w:style>
  <w:style w:type="paragraph" w:styleId="780" w:default="1">
    <w:name w:val="Normal"/>
    <w:next w:val="780"/>
    <w:link w:val="780"/>
    <w:qFormat/>
    <w:pPr>
      <w:jc w:val="both"/>
      <w:spacing w:line="276" w:lineRule="auto"/>
    </w:pPr>
    <w:rPr>
      <w:sz w:val="22"/>
      <w:szCs w:val="22"/>
      <w:lang w:val="ru-RU" w:eastAsia="en-US" w:bidi="ar-SA"/>
    </w:rPr>
  </w:style>
  <w:style w:type="paragraph" w:styleId="781">
    <w:name w:val="Заголовок 1"/>
    <w:basedOn w:val="780"/>
    <w:next w:val="780"/>
    <w:link w:val="801"/>
    <w:qFormat/>
    <w:pPr>
      <w:jc w:val="left"/>
      <w:keepNext/>
      <w:spacing w:before="240" w:after="60" w:line="240" w:lineRule="auto"/>
      <w:outlineLvl w:val="0"/>
    </w:pPr>
    <w:rPr>
      <w:rFonts w:ascii="Arial" w:hAnsi="Arial" w:eastAsia="Times New Roman"/>
      <w:b/>
      <w:sz w:val="28"/>
      <w:szCs w:val="20"/>
      <w:lang w:eastAsia="ru-RU"/>
    </w:rPr>
  </w:style>
  <w:style w:type="character" w:styleId="782">
    <w:name w:val="Основной шрифт абзаца"/>
    <w:next w:val="782"/>
    <w:link w:val="780"/>
    <w:uiPriority w:val="1"/>
    <w:semiHidden/>
    <w:unhideWhenUsed/>
  </w:style>
  <w:style w:type="table" w:styleId="783">
    <w:name w:val="Обычная таблица"/>
    <w:next w:val="783"/>
    <w:link w:val="780"/>
    <w:uiPriority w:val="99"/>
    <w:semiHidden/>
    <w:unhideWhenUsed/>
    <w:qFormat/>
    <w:tblPr/>
  </w:style>
  <w:style w:type="numbering" w:styleId="784">
    <w:name w:val="Нет списка"/>
    <w:next w:val="784"/>
    <w:link w:val="780"/>
    <w:uiPriority w:val="99"/>
    <w:semiHidden/>
    <w:unhideWhenUsed/>
  </w:style>
  <w:style w:type="paragraph" w:styleId="785">
    <w:name w:val="Текст выноски"/>
    <w:basedOn w:val="780"/>
    <w:next w:val="785"/>
    <w:link w:val="786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786">
    <w:name w:val="Текст выноски Знак"/>
    <w:next w:val="786"/>
    <w:link w:val="785"/>
    <w:uiPriority w:val="99"/>
    <w:semiHidden/>
    <w:rPr>
      <w:rFonts w:ascii="Tahoma" w:hAnsi="Tahoma" w:cs="Tahoma"/>
      <w:sz w:val="16"/>
      <w:szCs w:val="16"/>
    </w:rPr>
  </w:style>
  <w:style w:type="paragraph" w:styleId="787">
    <w:name w:val="ConsNormal"/>
    <w:next w:val="787"/>
    <w:link w:val="780"/>
    <w:pPr>
      <w:ind w:firstLine="720"/>
      <w:widowControl w:val="off"/>
    </w:pPr>
    <w:rPr>
      <w:rFonts w:ascii="Arial" w:hAnsi="Arial" w:eastAsia="Times New Roman"/>
      <w:lang w:val="ru-RU" w:eastAsia="ru-RU" w:bidi="ar-SA"/>
    </w:rPr>
  </w:style>
  <w:style w:type="paragraph" w:styleId="788">
    <w:name w:val="Абзац списка"/>
    <w:basedOn w:val="780"/>
    <w:next w:val="788"/>
    <w:link w:val="780"/>
    <w:uiPriority w:val="34"/>
    <w:qFormat/>
    <w:pPr>
      <w:contextualSpacing/>
      <w:ind w:left="720"/>
    </w:pPr>
  </w:style>
  <w:style w:type="paragraph" w:styleId="789">
    <w:name w:val="western"/>
    <w:basedOn w:val="780"/>
    <w:next w:val="789"/>
    <w:link w:val="790"/>
    <w:pPr>
      <w:jc w:val="left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790">
    <w:name w:val="western Знак"/>
    <w:next w:val="790"/>
    <w:link w:val="789"/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791">
    <w:name w:val="Сетка таблицы"/>
    <w:basedOn w:val="783"/>
    <w:next w:val="791"/>
    <w:link w:val="780"/>
    <w:uiPriority w:val="59"/>
    <w:pPr>
      <w:spacing w:line="240" w:lineRule="auto"/>
    </w:pPr>
    <w:tblPr/>
  </w:style>
  <w:style w:type="paragraph" w:styleId="792">
    <w:name w:val="Верхний колонтитул"/>
    <w:basedOn w:val="780"/>
    <w:next w:val="792"/>
    <w:link w:val="793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793">
    <w:name w:val="Верхний колонтитул Знак"/>
    <w:basedOn w:val="782"/>
    <w:next w:val="793"/>
    <w:link w:val="792"/>
    <w:uiPriority w:val="99"/>
  </w:style>
  <w:style w:type="paragraph" w:styleId="794">
    <w:name w:val="Нижний колонтитул"/>
    <w:basedOn w:val="780"/>
    <w:next w:val="794"/>
    <w:link w:val="795"/>
    <w:uiPriority w:val="99"/>
    <w:unhideWhenUsed/>
    <w:pPr>
      <w:spacing w:line="240" w:lineRule="auto"/>
      <w:tabs>
        <w:tab w:val="center" w:pos="4677" w:leader="none"/>
        <w:tab w:val="right" w:pos="9355" w:leader="none"/>
      </w:tabs>
    </w:pPr>
  </w:style>
  <w:style w:type="character" w:styleId="795">
    <w:name w:val="Нижний колонтитул Знак"/>
    <w:basedOn w:val="782"/>
    <w:next w:val="795"/>
    <w:link w:val="794"/>
    <w:uiPriority w:val="99"/>
  </w:style>
  <w:style w:type="character" w:styleId="796">
    <w:name w:val="Гиперссылка"/>
    <w:next w:val="796"/>
    <w:link w:val="780"/>
    <w:rPr>
      <w:color w:val="000080"/>
      <w:u w:val="single"/>
      <w:lang w:val="en-US" w:eastAsia="en-US" w:bidi="en-US"/>
    </w:rPr>
  </w:style>
  <w:style w:type="character" w:styleId="797">
    <w:name w:val="Основной текст_"/>
    <w:next w:val="797"/>
    <w:link w:val="798"/>
    <w:uiPriority w:val="99"/>
    <w:rPr>
      <w:sz w:val="29"/>
      <w:szCs w:val="29"/>
      <w:shd w:val="clear" w:color="auto" w:fill="ffffff"/>
    </w:rPr>
  </w:style>
  <w:style w:type="paragraph" w:styleId="798">
    <w:name w:val="Основной текст2"/>
    <w:basedOn w:val="780"/>
    <w:next w:val="798"/>
    <w:link w:val="797"/>
    <w:uiPriority w:val="99"/>
    <w:pPr>
      <w:jc w:val="left"/>
      <w:spacing w:line="0" w:lineRule="atLeast"/>
      <w:shd w:val="clear" w:color="auto" w:fill="ffffff"/>
    </w:pPr>
    <w:rPr>
      <w:sz w:val="29"/>
      <w:szCs w:val="29"/>
      <w:lang w:val="en-US" w:eastAsia="en-US"/>
    </w:rPr>
  </w:style>
  <w:style w:type="paragraph" w:styleId="799">
    <w:name w:val="No Spacing"/>
    <w:next w:val="799"/>
    <w:link w:val="780"/>
    <w:rPr>
      <w:rFonts w:eastAsia="Times New Roman" w:cs="Calibri"/>
      <w:sz w:val="22"/>
      <w:szCs w:val="22"/>
      <w:lang w:val="ru-RU" w:eastAsia="ru-RU" w:bidi="ar-SA"/>
    </w:rPr>
  </w:style>
  <w:style w:type="paragraph" w:styleId="800">
    <w:name w:val="ConsTitle"/>
    <w:next w:val="800"/>
    <w:link w:val="780"/>
    <w:pPr>
      <w:widowControl w:val="off"/>
    </w:pPr>
    <w:rPr>
      <w:rFonts w:ascii="Arial" w:hAnsi="Arial" w:eastAsia="Times New Roman"/>
      <w:b/>
      <w:sz w:val="16"/>
      <w:lang w:val="ru-RU" w:eastAsia="ru-RU" w:bidi="ar-SA"/>
    </w:rPr>
  </w:style>
  <w:style w:type="character" w:styleId="801">
    <w:name w:val="Заголовок 1 Знак"/>
    <w:next w:val="801"/>
    <w:link w:val="781"/>
    <w:rPr>
      <w:rFonts w:ascii="Arial" w:hAnsi="Arial" w:eastAsia="Times New Roman"/>
      <w:b/>
      <w:sz w:val="28"/>
    </w:rPr>
  </w:style>
  <w:style w:type="character" w:styleId="1052" w:default="1">
    <w:name w:val="Default Paragraph Font"/>
    <w:uiPriority w:val="1"/>
    <w:semiHidden/>
    <w:unhideWhenUsed/>
  </w:style>
  <w:style w:type="numbering" w:styleId="1053" w:default="1">
    <w:name w:val="No List"/>
    <w:uiPriority w:val="99"/>
    <w:semiHidden/>
    <w:unhideWhenUsed/>
  </w:style>
  <w:style w:type="table" w:styleId="10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revision>32</cp:revision>
  <dcterms:created xsi:type="dcterms:W3CDTF">2020-05-19T13:43:00Z</dcterms:created>
  <dcterms:modified xsi:type="dcterms:W3CDTF">2023-02-27T12:08:10Z</dcterms:modified>
  <cp:version>1048576</cp:version>
</cp:coreProperties>
</file>